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C9" w:rsidRPr="003D77A0" w:rsidRDefault="007A01C9" w:rsidP="003D77A0">
      <w:pPr>
        <w:autoSpaceDE w:val="0"/>
        <w:autoSpaceDN w:val="0"/>
        <w:adjustRightInd w:val="0"/>
        <w:spacing w:after="0" w:line="240" w:lineRule="auto"/>
        <w:rPr>
          <w:rFonts w:ascii="Times New Roman" w:eastAsia="Times New Roman" w:hAnsi="Times New Roman" w:cs="Times New Roman"/>
          <w:szCs w:val="24"/>
          <w:lang w:eastAsia="pl-PL"/>
        </w:rPr>
      </w:pPr>
      <w:bookmarkStart w:id="0" w:name="_GoBack"/>
      <w:bookmarkEnd w:id="0"/>
      <w:r w:rsidRPr="003D77A0">
        <w:rPr>
          <w:rFonts w:ascii="Times New Roman" w:eastAsia="Times New Roman" w:hAnsi="Times New Roman" w:cs="Times New Roman"/>
          <w:szCs w:val="24"/>
          <w:lang w:eastAsia="pl-PL"/>
        </w:rPr>
        <w:t xml:space="preserve">Załącznik </w:t>
      </w:r>
      <w:r w:rsidR="003D77A0">
        <w:rPr>
          <w:rFonts w:ascii="Times New Roman" w:eastAsia="Times New Roman" w:hAnsi="Times New Roman" w:cs="Times New Roman"/>
          <w:szCs w:val="24"/>
          <w:lang w:eastAsia="pl-PL"/>
        </w:rPr>
        <w:t>B.33.</w:t>
      </w:r>
    </w:p>
    <w:p w:rsidR="007A01C9" w:rsidRDefault="007A01C9" w:rsidP="007A01C9">
      <w:pPr>
        <w:widowControl w:val="0"/>
        <w:tabs>
          <w:tab w:val="left" w:pos="1305"/>
        </w:tabs>
        <w:autoSpaceDE w:val="0"/>
        <w:autoSpaceDN w:val="0"/>
        <w:adjustRightInd w:val="0"/>
        <w:spacing w:after="0" w:line="240" w:lineRule="auto"/>
        <w:rPr>
          <w:rFonts w:ascii="Arial" w:eastAsia="Times New Roman" w:hAnsi="Arial" w:cs="Arial"/>
          <w:lang w:eastAsia="pl-PL"/>
        </w:rPr>
      </w:pPr>
    </w:p>
    <w:p w:rsidR="007A01C9" w:rsidRPr="003D77A0" w:rsidRDefault="007A01C9" w:rsidP="003D77A0">
      <w:pPr>
        <w:spacing w:after="240" w:line="240" w:lineRule="auto"/>
        <w:jc w:val="both"/>
        <w:rPr>
          <w:rFonts w:ascii="Times New Roman" w:eastAsia="Times New Roman" w:hAnsi="Times New Roman" w:cs="Times New Roman"/>
          <w:b/>
          <w:sz w:val="28"/>
          <w:szCs w:val="28"/>
          <w:lang w:eastAsia="pl-PL"/>
        </w:rPr>
      </w:pPr>
      <w:r w:rsidRPr="003D77A0">
        <w:rPr>
          <w:rFonts w:ascii="Times New Roman" w:eastAsia="Times New Roman" w:hAnsi="Times New Roman" w:cs="Times New Roman"/>
          <w:b/>
          <w:sz w:val="28"/>
          <w:szCs w:val="28"/>
          <w:lang w:eastAsia="pl-PL"/>
        </w:rPr>
        <w:t>LECZENIE REUMATOIDALNEGO ZAPALENIA STAWÓW I MŁODZIEŃCZEGO IDIOPATYCZNEGO ZAPALENIA STAWÓW O PRZEBIEGU AGRESYWNYM  (ICD-10  M 05, M 06, M 08)</w:t>
      </w:r>
    </w:p>
    <w:tbl>
      <w:tblPr>
        <w:tblpPr w:leftFromText="141" w:rightFromText="141" w:vertAnchor="text" w:tblpY="1"/>
        <w:tblOverlap w:val="neve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0"/>
        <w:gridCol w:w="5106"/>
        <w:gridCol w:w="4961"/>
      </w:tblGrid>
      <w:tr w:rsidR="007A01C9" w:rsidRPr="00015CAA" w:rsidTr="006069DD">
        <w:trPr>
          <w:trHeight w:val="416"/>
        </w:trPr>
        <w:tc>
          <w:tcPr>
            <w:tcW w:w="5000" w:type="pct"/>
            <w:gridSpan w:val="3"/>
            <w:vAlign w:val="center"/>
          </w:tcPr>
          <w:p w:rsidR="007A01C9" w:rsidRPr="00015CAA" w:rsidRDefault="007A01C9" w:rsidP="006069DD">
            <w:pPr>
              <w:spacing w:after="0"/>
              <w:jc w:val="center"/>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ZAKRES ŚWIADCZENIA GWARANTOWANEGO</w:t>
            </w:r>
          </w:p>
        </w:tc>
      </w:tr>
      <w:tr w:rsidR="007A01C9" w:rsidRPr="00015CAA" w:rsidTr="006069DD">
        <w:tc>
          <w:tcPr>
            <w:tcW w:w="1735" w:type="pct"/>
            <w:tcBorders>
              <w:bottom w:val="single" w:sz="4" w:space="0" w:color="auto"/>
            </w:tcBorders>
            <w:vAlign w:val="center"/>
          </w:tcPr>
          <w:p w:rsidR="007A01C9" w:rsidRPr="00015CAA" w:rsidRDefault="007A01C9" w:rsidP="006069DD">
            <w:pPr>
              <w:spacing w:after="0"/>
              <w:jc w:val="center"/>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ŚWIADCZENIOBIORCY</w:t>
            </w:r>
          </w:p>
        </w:tc>
        <w:tc>
          <w:tcPr>
            <w:tcW w:w="1656" w:type="pct"/>
            <w:tcBorders>
              <w:bottom w:val="single" w:sz="4" w:space="0" w:color="auto"/>
            </w:tcBorders>
            <w:vAlign w:val="center"/>
          </w:tcPr>
          <w:p w:rsidR="007A01C9" w:rsidRPr="00015CAA" w:rsidRDefault="007A01C9" w:rsidP="006069DD">
            <w:pPr>
              <w:spacing w:after="0"/>
              <w:jc w:val="center"/>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SCHEMAT DAWKOWANIA SUBSTANCJI CZYNNYCH W PROGRAMIE</w:t>
            </w:r>
          </w:p>
        </w:tc>
        <w:tc>
          <w:tcPr>
            <w:tcW w:w="1609" w:type="pct"/>
            <w:tcBorders>
              <w:bottom w:val="single" w:sz="4" w:space="0" w:color="auto"/>
              <w:right w:val="single" w:sz="4" w:space="0" w:color="auto"/>
            </w:tcBorders>
            <w:vAlign w:val="center"/>
          </w:tcPr>
          <w:p w:rsidR="007A01C9" w:rsidRPr="00015CAA" w:rsidRDefault="007A01C9" w:rsidP="006069DD">
            <w:pPr>
              <w:spacing w:after="0"/>
              <w:ind w:left="35" w:hanging="35"/>
              <w:jc w:val="center"/>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BADANIA DIAGNOSTYCZNE WYKONYWANE W RAMACH PROGRAMU</w:t>
            </w:r>
          </w:p>
        </w:tc>
      </w:tr>
      <w:tr w:rsidR="007A01C9" w:rsidRPr="00015CAA" w:rsidTr="006069DD">
        <w:tc>
          <w:tcPr>
            <w:tcW w:w="5000" w:type="pct"/>
            <w:gridSpan w:val="3"/>
            <w:tcBorders>
              <w:bottom w:val="single" w:sz="4" w:space="0" w:color="auto"/>
              <w:right w:val="single" w:sz="4" w:space="0" w:color="auto"/>
            </w:tcBorders>
            <w:vAlign w:val="center"/>
          </w:tcPr>
          <w:p w:rsidR="007A01C9" w:rsidRPr="00015CAA" w:rsidRDefault="007A01C9" w:rsidP="006069DD">
            <w:pPr>
              <w:spacing w:after="0"/>
              <w:jc w:val="center"/>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REUMATOIDALNE ZAPALENIE STAWÓW</w:t>
            </w:r>
          </w:p>
        </w:tc>
      </w:tr>
      <w:tr w:rsidR="007A01C9" w:rsidRPr="00015CAA" w:rsidTr="006069DD">
        <w:tc>
          <w:tcPr>
            <w:tcW w:w="1735" w:type="pct"/>
            <w:tcBorders>
              <w:top w:val="single" w:sz="4" w:space="0" w:color="auto"/>
              <w:left w:val="single" w:sz="4" w:space="0" w:color="auto"/>
              <w:bottom w:val="single" w:sz="4" w:space="0" w:color="auto"/>
            </w:tcBorders>
          </w:tcPr>
          <w:p w:rsidR="007A01C9" w:rsidRPr="00015CAA" w:rsidRDefault="007A01C9" w:rsidP="003D77A0">
            <w:pPr>
              <w:numPr>
                <w:ilvl w:val="0"/>
                <w:numId w:val="1"/>
              </w:numPr>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Kryteria kwalifikacji:</w:t>
            </w:r>
          </w:p>
          <w:p w:rsidR="007A01C9" w:rsidRPr="00015CAA" w:rsidRDefault="007A01C9" w:rsidP="003D77A0">
            <w:pPr>
              <w:spacing w:after="0"/>
              <w:ind w:left="357"/>
              <w:rPr>
                <w:rFonts w:ascii="Times New Roman" w:eastAsia="Times New Roman" w:hAnsi="Times New Roman" w:cs="Times New Roman"/>
                <w:b/>
                <w:sz w:val="20"/>
                <w:szCs w:val="20"/>
                <w:lang w:eastAsia="pl-PL"/>
              </w:rPr>
            </w:pPr>
          </w:p>
          <w:p w:rsidR="007A01C9" w:rsidRPr="00015CAA" w:rsidRDefault="007A01C9" w:rsidP="003D77A0">
            <w:pPr>
              <w:numPr>
                <w:ilvl w:val="0"/>
                <w:numId w:val="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Pacjent jest kwalifikowany do programu przez  Zespół Koordynacyjny do Spraw Leczenia Biologicznego w Chorobach Reumatycznych powoływany przez Prezesa Narodowego Funduszu Zdrowia.</w:t>
            </w:r>
            <w:r w:rsidRPr="00015CAA">
              <w:rPr>
                <w:rFonts w:ascii="Times New Roman" w:eastAsia="Times New Roman" w:hAnsi="Times New Roman" w:cs="Times New Roman"/>
                <w:sz w:val="24"/>
                <w:szCs w:val="24"/>
                <w:lang w:eastAsia="pl-PL"/>
              </w:rPr>
              <w:t xml:space="preserve"> </w:t>
            </w:r>
          </w:p>
          <w:p w:rsidR="007A01C9" w:rsidRPr="00015CAA" w:rsidRDefault="007A01C9" w:rsidP="003D77A0">
            <w:pPr>
              <w:numPr>
                <w:ilvl w:val="0"/>
                <w:numId w:val="2"/>
              </w:numPr>
              <w:spacing w:after="0"/>
              <w:ind w:left="357" w:hanging="357"/>
              <w:rPr>
                <w:rFonts w:ascii="Times New Roman" w:eastAsia="Batang"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Do terapii inhibitorem TNF alfa albo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kwalifikuje się pacjentów</w:t>
            </w:r>
            <w:r w:rsidRPr="00015CAA">
              <w:rPr>
                <w:rFonts w:ascii="Times New Roman" w:eastAsia="Batang" w:hAnsi="Times New Roman" w:cs="Times New Roman"/>
                <w:sz w:val="20"/>
                <w:szCs w:val="20"/>
                <w:lang w:eastAsia="pl-PL"/>
              </w:rPr>
              <w:t xml:space="preserve"> z rozpoznaniem RZS, u </w:t>
            </w:r>
            <w:r w:rsidRPr="00015CAA">
              <w:rPr>
                <w:rFonts w:ascii="Times New Roman" w:eastAsia="Times New Roman" w:hAnsi="Times New Roman" w:cs="Times New Roman"/>
                <w:sz w:val="20"/>
                <w:szCs w:val="20"/>
                <w:lang w:eastAsia="pl-PL"/>
              </w:rPr>
              <w:t xml:space="preserve"> </w:t>
            </w:r>
            <w:r w:rsidRPr="00015CAA">
              <w:rPr>
                <w:rFonts w:ascii="Times New Roman" w:eastAsia="Batang" w:hAnsi="Times New Roman" w:cs="Times New Roman"/>
                <w:sz w:val="20"/>
                <w:szCs w:val="20"/>
                <w:lang w:eastAsia="pl-PL"/>
              </w:rPr>
              <w:t>których nastąpiło niepowodzenie terapii co najmniej dwoma konwencjonalnymi, syntetycznymi lekami modyfikującymi przebieg choroby (</w:t>
            </w:r>
            <w:proofErr w:type="spellStart"/>
            <w:r w:rsidRPr="00015CAA">
              <w:rPr>
                <w:rFonts w:ascii="Times New Roman" w:eastAsia="Batang" w:hAnsi="Times New Roman" w:cs="Times New Roman"/>
                <w:sz w:val="20"/>
                <w:szCs w:val="20"/>
                <w:lang w:eastAsia="pl-PL"/>
              </w:rPr>
              <w:t>ksLMPCh</w:t>
            </w:r>
            <w:proofErr w:type="spellEnd"/>
            <w:r w:rsidRPr="00015CAA">
              <w:rPr>
                <w:rFonts w:ascii="Times New Roman" w:eastAsia="Batang" w:hAnsi="Times New Roman" w:cs="Times New Roman"/>
                <w:sz w:val="20"/>
                <w:szCs w:val="20"/>
                <w:lang w:eastAsia="pl-PL"/>
              </w:rPr>
              <w:t xml:space="preserve">) w dawkach wskazanych w obowiązujących zaleceniach EULAR, przez okres co najmniej 6 miesięcy każdym (w tym </w:t>
            </w:r>
            <w:r w:rsidRPr="00015CAA">
              <w:rPr>
                <w:rFonts w:ascii="Times New Roman" w:eastAsia="Times New Roman" w:hAnsi="Times New Roman" w:cs="Times New Roman"/>
                <w:sz w:val="24"/>
                <w:szCs w:val="24"/>
                <w:lang w:eastAsia="pl-PL"/>
              </w:rPr>
              <w:t xml:space="preserve"> </w:t>
            </w:r>
            <w:r w:rsidRPr="00015CAA">
              <w:rPr>
                <w:rFonts w:ascii="Times New Roman" w:eastAsia="Batang" w:hAnsi="Times New Roman" w:cs="Times New Roman"/>
                <w:sz w:val="20"/>
                <w:szCs w:val="20"/>
                <w:lang w:eastAsia="pl-PL"/>
              </w:rPr>
              <w:t xml:space="preserve">niepowodzenie terapii optymalnymi dawkami </w:t>
            </w:r>
            <w:proofErr w:type="spellStart"/>
            <w:r w:rsidRPr="00015CAA">
              <w:rPr>
                <w:rFonts w:ascii="Times New Roman" w:eastAsia="Batang" w:hAnsi="Times New Roman" w:cs="Times New Roman"/>
                <w:sz w:val="20"/>
                <w:szCs w:val="20"/>
                <w:lang w:eastAsia="pl-PL"/>
              </w:rPr>
              <w:t>metotreksatu</w:t>
            </w:r>
            <w:proofErr w:type="spellEnd"/>
            <w:r w:rsidRPr="00015CAA">
              <w:rPr>
                <w:rFonts w:ascii="Times New Roman" w:eastAsia="Batang" w:hAnsi="Times New Roman" w:cs="Times New Roman"/>
                <w:sz w:val="20"/>
                <w:szCs w:val="20"/>
                <w:lang w:eastAsia="pl-PL"/>
              </w:rPr>
              <w:t xml:space="preserve"> – także w postaci do podania podskórnego - przez okres co najmniej 2 miesięcy):</w:t>
            </w:r>
          </w:p>
          <w:p w:rsidR="007A01C9" w:rsidRPr="00015CAA" w:rsidRDefault="007A01C9" w:rsidP="003D77A0">
            <w:pPr>
              <w:numPr>
                <w:ilvl w:val="0"/>
                <w:numId w:val="3"/>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z ciężką postacią choroby, udokumentowaną w trakcie dwóch badań lekarskich w odstępie 1 miesiąca. Ciężką postać choroby stwierdza się, gdy jest spełnione jedno z poniższych kryteriów: </w:t>
            </w:r>
          </w:p>
          <w:p w:rsidR="007A01C9" w:rsidRPr="00015CAA" w:rsidRDefault="007A01C9" w:rsidP="003D77A0">
            <w:pPr>
              <w:numPr>
                <w:ilvl w:val="0"/>
                <w:numId w:val="4"/>
              </w:numPr>
              <w:spacing w:after="0"/>
              <w:ind w:left="1071"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wartość DAS 28 – większa niż 5,1 albo </w:t>
            </w:r>
          </w:p>
          <w:p w:rsidR="007A01C9" w:rsidRPr="00015CAA" w:rsidRDefault="007A01C9" w:rsidP="003D77A0">
            <w:pPr>
              <w:numPr>
                <w:ilvl w:val="0"/>
                <w:numId w:val="4"/>
              </w:numPr>
              <w:spacing w:after="0"/>
              <w:ind w:left="1071"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wartość DAS  –  większa niż 3,7, albo </w:t>
            </w:r>
          </w:p>
          <w:p w:rsidR="007A01C9" w:rsidRPr="00015CAA" w:rsidRDefault="007A01C9" w:rsidP="003D77A0">
            <w:pPr>
              <w:numPr>
                <w:ilvl w:val="0"/>
                <w:numId w:val="4"/>
              </w:numPr>
              <w:spacing w:after="0"/>
              <w:ind w:left="1071"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wartość SDAI – większa niż 26 lub</w:t>
            </w:r>
          </w:p>
          <w:p w:rsidR="007A01C9" w:rsidRPr="00015CAA" w:rsidRDefault="007A01C9" w:rsidP="003D77A0">
            <w:pPr>
              <w:numPr>
                <w:ilvl w:val="0"/>
                <w:numId w:val="3"/>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lastRenderedPageBreak/>
              <w:t xml:space="preserve">z innymi postaciami RZS, niezależnie od wartości DAS 28, DAS, SDAI, </w:t>
            </w:r>
            <w:proofErr w:type="spellStart"/>
            <w:r w:rsidRPr="00015CAA">
              <w:rPr>
                <w:rFonts w:ascii="Times New Roman" w:eastAsia="Times New Roman" w:hAnsi="Times New Roman" w:cs="Times New Roman"/>
                <w:sz w:val="20"/>
                <w:szCs w:val="20"/>
                <w:lang w:eastAsia="pl-PL"/>
              </w:rPr>
              <w:t>tj</w:t>
            </w:r>
            <w:proofErr w:type="spellEnd"/>
            <w:r w:rsidRPr="00015CAA">
              <w:rPr>
                <w:rFonts w:ascii="Times New Roman" w:eastAsia="Times New Roman" w:hAnsi="Times New Roman" w:cs="Times New Roman"/>
                <w:sz w:val="20"/>
                <w:szCs w:val="20"/>
                <w:lang w:eastAsia="pl-PL"/>
              </w:rPr>
              <w:t xml:space="preserve">: </w:t>
            </w:r>
          </w:p>
          <w:p w:rsidR="007A01C9" w:rsidRPr="00015CAA" w:rsidRDefault="007A01C9" w:rsidP="003D77A0">
            <w:pPr>
              <w:numPr>
                <w:ilvl w:val="0"/>
                <w:numId w:val="5"/>
              </w:numPr>
              <w:spacing w:after="0"/>
              <w:ind w:left="993"/>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z postacią uogólnioną (Zespół </w:t>
            </w:r>
            <w:proofErr w:type="spellStart"/>
            <w:r w:rsidRPr="00015CAA">
              <w:rPr>
                <w:rFonts w:ascii="Times New Roman" w:eastAsia="Times New Roman" w:hAnsi="Times New Roman" w:cs="Times New Roman"/>
                <w:sz w:val="20"/>
                <w:szCs w:val="20"/>
                <w:lang w:eastAsia="pl-PL"/>
              </w:rPr>
              <w:t>Stilla</w:t>
            </w:r>
            <w:proofErr w:type="spellEnd"/>
            <w:r w:rsidRPr="00015CAA">
              <w:rPr>
                <w:rFonts w:ascii="Times New Roman" w:eastAsia="Times New Roman" w:hAnsi="Times New Roman" w:cs="Times New Roman"/>
                <w:sz w:val="20"/>
                <w:szCs w:val="20"/>
                <w:lang w:eastAsia="pl-PL"/>
              </w:rPr>
              <w:t xml:space="preserve"> u dorosłych), lub</w:t>
            </w:r>
          </w:p>
          <w:p w:rsidR="007A01C9" w:rsidRPr="00015CAA" w:rsidRDefault="007A01C9" w:rsidP="003D77A0">
            <w:pPr>
              <w:numPr>
                <w:ilvl w:val="0"/>
                <w:numId w:val="5"/>
              </w:numPr>
              <w:spacing w:after="0"/>
              <w:ind w:left="993"/>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z RZS powikłanym </w:t>
            </w:r>
            <w:proofErr w:type="spellStart"/>
            <w:r w:rsidRPr="00015CAA">
              <w:rPr>
                <w:rFonts w:ascii="Times New Roman" w:eastAsia="Times New Roman" w:hAnsi="Times New Roman" w:cs="Times New Roman"/>
                <w:sz w:val="20"/>
                <w:szCs w:val="20"/>
                <w:lang w:eastAsia="pl-PL"/>
              </w:rPr>
              <w:t>krioglobulinemią</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amyloidozą</w:t>
            </w:r>
            <w:proofErr w:type="spellEnd"/>
            <w:r w:rsidRPr="00015CAA">
              <w:rPr>
                <w:rFonts w:ascii="Times New Roman" w:eastAsia="Times New Roman" w:hAnsi="Times New Roman" w:cs="Times New Roman"/>
                <w:sz w:val="20"/>
                <w:szCs w:val="20"/>
                <w:lang w:eastAsia="pl-PL"/>
              </w:rPr>
              <w:t xml:space="preserve">, lub zapaleniem naczyń. </w:t>
            </w:r>
          </w:p>
          <w:p w:rsidR="007A01C9" w:rsidRPr="00015CAA" w:rsidRDefault="007A01C9" w:rsidP="003D77A0">
            <w:pPr>
              <w:numPr>
                <w:ilvl w:val="0"/>
                <w:numId w:val="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Do terapii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inhibitorem TNF alfa kwalifikują się, bez konieczności spełnienia kryterium  ust.1 </w:t>
            </w:r>
            <w:proofErr w:type="spellStart"/>
            <w:r w:rsidRPr="00015CAA">
              <w:rPr>
                <w:rFonts w:ascii="Times New Roman" w:eastAsia="Times New Roman" w:hAnsi="Times New Roman" w:cs="Times New Roman"/>
                <w:sz w:val="20"/>
                <w:szCs w:val="20"/>
                <w:lang w:eastAsia="pl-PL"/>
              </w:rPr>
              <w:t>pkt</w:t>
            </w:r>
            <w:proofErr w:type="spellEnd"/>
            <w:r w:rsidRPr="00015CAA">
              <w:rPr>
                <w:rFonts w:ascii="Times New Roman" w:eastAsia="Times New Roman" w:hAnsi="Times New Roman" w:cs="Times New Roman"/>
                <w:sz w:val="20"/>
                <w:szCs w:val="20"/>
                <w:lang w:eastAsia="pl-PL"/>
              </w:rPr>
              <w:t xml:space="preserve"> 2a) części dotyczącej RZS niniejszego programu,  pacjenci poddani leczeniu RZS w ramach programów lekowych:</w:t>
            </w:r>
          </w:p>
          <w:p w:rsidR="007A01C9" w:rsidRPr="00015CAA" w:rsidRDefault="007A01C9" w:rsidP="003D77A0">
            <w:pPr>
              <w:numPr>
                <w:ilvl w:val="0"/>
                <w:numId w:val="4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inhibitorem TNF alfa lub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u których:</w:t>
            </w:r>
          </w:p>
          <w:p w:rsidR="007A01C9" w:rsidRPr="00015CAA" w:rsidRDefault="007A01C9" w:rsidP="003D77A0">
            <w:pPr>
              <w:numPr>
                <w:ilvl w:val="0"/>
                <w:numId w:val="42"/>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wystąpiła ciężka reakcja uczuleniowa na substancję czynną lub pomocniczą,  lub </w:t>
            </w:r>
          </w:p>
          <w:p w:rsidR="007A01C9" w:rsidRPr="00015CAA" w:rsidRDefault="007A01C9" w:rsidP="003D77A0">
            <w:pPr>
              <w:numPr>
                <w:ilvl w:val="0"/>
                <w:numId w:val="42"/>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wystąpiły ciężkie działania niepożądane uniemożliwiające kontynuowanie terapii, które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nie ustępują mimo dostosowywania dawki leku zgodnie z </w:t>
            </w:r>
            <w:proofErr w:type="spellStart"/>
            <w:r w:rsidRPr="00015CAA">
              <w:rPr>
                <w:rFonts w:ascii="Times New Roman" w:eastAsia="Times New Roman" w:hAnsi="Times New Roman" w:cs="Times New Roman"/>
                <w:sz w:val="20"/>
                <w:szCs w:val="20"/>
                <w:lang w:eastAsia="pl-PL"/>
              </w:rPr>
              <w:t>ChPL</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42"/>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stwierdzono brak albo utratę odpowiedzi na zastosowane leczenie (zgodnie z definicją zawartą w kryteriach wyłączenia z programu w programach lekowych dotyczących leczenia RZS);</w:t>
            </w:r>
          </w:p>
          <w:p w:rsidR="007A01C9" w:rsidRPr="00015CAA" w:rsidRDefault="007A01C9" w:rsidP="003D77A0">
            <w:pPr>
              <w:numPr>
                <w:ilvl w:val="0"/>
                <w:numId w:val="41"/>
              </w:numPr>
              <w:spacing w:after="0"/>
              <w:ind w:left="357" w:hanging="357"/>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rytuksymabem</w:t>
            </w:r>
            <w:proofErr w:type="spellEnd"/>
            <w:r w:rsidRPr="00015CAA">
              <w:rPr>
                <w:rFonts w:ascii="Times New Roman" w:eastAsia="Times New Roman" w:hAnsi="Times New Roman" w:cs="Times New Roman"/>
                <w:sz w:val="20"/>
                <w:szCs w:val="20"/>
                <w:lang w:eastAsia="pl-PL"/>
              </w:rPr>
              <w:t xml:space="preserve"> – w szczególnych przypadkach, po uzyskaniu indywidualnej zgody Zespołu Koordynującego zawierającej uzasadnienie pozytywnej kwalifikacji, określenie czasu, jaki musi upłynąć od ostatniego podania </w:t>
            </w:r>
            <w:proofErr w:type="spellStart"/>
            <w:r w:rsidRPr="00015CAA">
              <w:rPr>
                <w:rFonts w:ascii="Times New Roman" w:eastAsia="Times New Roman" w:hAnsi="Times New Roman" w:cs="Times New Roman"/>
                <w:sz w:val="20"/>
                <w:szCs w:val="20"/>
                <w:lang w:eastAsia="pl-PL"/>
              </w:rPr>
              <w:t>rytuksymabu</w:t>
            </w:r>
            <w:proofErr w:type="spellEnd"/>
            <w:r w:rsidRPr="00015CAA">
              <w:rPr>
                <w:rFonts w:ascii="Times New Roman" w:eastAsia="Times New Roman" w:hAnsi="Times New Roman" w:cs="Times New Roman"/>
                <w:sz w:val="20"/>
                <w:szCs w:val="20"/>
                <w:lang w:eastAsia="pl-PL"/>
              </w:rPr>
              <w:t xml:space="preserve"> oraz określenie niezbędnych badań, które muszą być wykonane przed podaniem pierwszej dawki inhibitora TNF – alfa.</w:t>
            </w:r>
          </w:p>
          <w:p w:rsidR="007A01C9" w:rsidRPr="00015CAA" w:rsidRDefault="007A01C9" w:rsidP="003D77A0">
            <w:pPr>
              <w:numPr>
                <w:ilvl w:val="0"/>
                <w:numId w:val="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Do terapii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kwalifikują się</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bez konieczności spełnienia kryterium  ust.1 </w:t>
            </w:r>
            <w:proofErr w:type="spellStart"/>
            <w:r w:rsidRPr="00015CAA">
              <w:rPr>
                <w:rFonts w:ascii="Times New Roman" w:eastAsia="Times New Roman" w:hAnsi="Times New Roman" w:cs="Times New Roman"/>
                <w:sz w:val="20"/>
                <w:szCs w:val="20"/>
                <w:lang w:eastAsia="pl-PL"/>
              </w:rPr>
              <w:t>pkt</w:t>
            </w:r>
            <w:proofErr w:type="spellEnd"/>
            <w:r w:rsidRPr="00015CAA">
              <w:rPr>
                <w:rFonts w:ascii="Times New Roman" w:eastAsia="Times New Roman" w:hAnsi="Times New Roman" w:cs="Times New Roman"/>
                <w:sz w:val="20"/>
                <w:szCs w:val="20"/>
                <w:lang w:eastAsia="pl-PL"/>
              </w:rPr>
              <w:t xml:space="preserve"> 2a) części dotyczącej RZS niniejszego programu ,  pacjenci poddani leczeniu RZS w ramach programów lekowych : </w:t>
            </w:r>
          </w:p>
          <w:p w:rsidR="007A01C9" w:rsidRPr="00015CAA" w:rsidRDefault="007A01C9" w:rsidP="003D77A0">
            <w:pPr>
              <w:numPr>
                <w:ilvl w:val="0"/>
                <w:numId w:val="45"/>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jednym lub dwoma inhibitorami TNF alfa, u których:</w:t>
            </w:r>
          </w:p>
          <w:p w:rsidR="007A01C9" w:rsidRPr="00015CAA" w:rsidRDefault="007A01C9" w:rsidP="003D77A0">
            <w:pPr>
              <w:numPr>
                <w:ilvl w:val="0"/>
                <w:numId w:val="46"/>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lastRenderedPageBreak/>
              <w:t xml:space="preserve">wystąpiła ciężka reakcja uczuleniowa na substancję czynną lub pomocniczą,  lub </w:t>
            </w:r>
          </w:p>
          <w:p w:rsidR="007A01C9" w:rsidRPr="00015CAA" w:rsidRDefault="007A01C9" w:rsidP="003D77A0">
            <w:pPr>
              <w:numPr>
                <w:ilvl w:val="0"/>
                <w:numId w:val="46"/>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wystąpiły ciężkie działania niepożądane uniemożliwiające kontynuowanie terapii, które  nie ustępują mimo dostosowywania dawki leku zgodnie z </w:t>
            </w:r>
            <w:proofErr w:type="spellStart"/>
            <w:r w:rsidRPr="00015CAA">
              <w:rPr>
                <w:rFonts w:ascii="Times New Roman" w:eastAsia="Times New Roman" w:hAnsi="Times New Roman" w:cs="Times New Roman"/>
                <w:sz w:val="20"/>
                <w:szCs w:val="20"/>
                <w:lang w:eastAsia="pl-PL"/>
              </w:rPr>
              <w:t>ChPL</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46"/>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stwierdzono brak albo utratę odpowiedzi na zastosowane leczenie (zgodnie z definicją zawartą w kryteriach wyłączenia z programu w programach lekowych dotyczących leczenia RZS),</w:t>
            </w:r>
          </w:p>
          <w:p w:rsidR="007A01C9" w:rsidRPr="00015CAA" w:rsidRDefault="007A01C9" w:rsidP="003D77A0">
            <w:pPr>
              <w:numPr>
                <w:ilvl w:val="0"/>
                <w:numId w:val="45"/>
              </w:numPr>
              <w:spacing w:after="0"/>
              <w:ind w:left="357" w:hanging="357"/>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rytuksymabem</w:t>
            </w:r>
            <w:proofErr w:type="spellEnd"/>
            <w:r w:rsidRPr="00015CAA">
              <w:rPr>
                <w:rFonts w:ascii="Times New Roman" w:eastAsia="Times New Roman" w:hAnsi="Times New Roman" w:cs="Times New Roman"/>
                <w:sz w:val="20"/>
                <w:szCs w:val="20"/>
                <w:lang w:eastAsia="pl-PL"/>
              </w:rPr>
              <w:t xml:space="preserve"> – w szczególnych przypadkach, po uzyskaniu indywidualnej zgody Zespołu Koordynującego zawierającej uzasadnienie pozytywnej kwalifikacji, określenie czasu, jaki musi upłynąć od ostatniego podania </w:t>
            </w:r>
            <w:proofErr w:type="spellStart"/>
            <w:r w:rsidRPr="00015CAA">
              <w:rPr>
                <w:rFonts w:ascii="Times New Roman" w:eastAsia="Times New Roman" w:hAnsi="Times New Roman" w:cs="Times New Roman"/>
                <w:sz w:val="20"/>
                <w:szCs w:val="20"/>
                <w:lang w:eastAsia="pl-PL"/>
              </w:rPr>
              <w:t>rytuksymabu</w:t>
            </w:r>
            <w:proofErr w:type="spellEnd"/>
            <w:r w:rsidRPr="00015CAA">
              <w:rPr>
                <w:rFonts w:ascii="Times New Roman" w:eastAsia="Times New Roman" w:hAnsi="Times New Roman" w:cs="Times New Roman"/>
                <w:sz w:val="20"/>
                <w:szCs w:val="20"/>
                <w:lang w:eastAsia="pl-PL"/>
              </w:rPr>
              <w:t xml:space="preserve"> oraz określenie niezbędnych badań, które muszą być wykonane przed podaniem pierwszej dawki </w:t>
            </w:r>
            <w:proofErr w:type="spellStart"/>
            <w:r w:rsidRPr="00015CAA">
              <w:rPr>
                <w:rFonts w:ascii="Times New Roman" w:eastAsia="Times New Roman" w:hAnsi="Times New Roman" w:cs="Times New Roman"/>
                <w:sz w:val="20"/>
                <w:szCs w:val="20"/>
                <w:lang w:eastAsia="pl-PL"/>
              </w:rPr>
              <w:t>tocilizumabu</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Do terapii </w:t>
            </w:r>
            <w:proofErr w:type="spellStart"/>
            <w:r w:rsidRPr="00015CAA">
              <w:rPr>
                <w:rFonts w:ascii="Times New Roman" w:eastAsia="Times New Roman" w:hAnsi="Times New Roman" w:cs="Times New Roman"/>
                <w:sz w:val="20"/>
                <w:szCs w:val="20"/>
                <w:lang w:eastAsia="pl-PL"/>
              </w:rPr>
              <w:t>rytuksymabem</w:t>
            </w:r>
            <w:proofErr w:type="spellEnd"/>
            <w:r w:rsidRPr="00015CAA">
              <w:rPr>
                <w:rFonts w:ascii="Times New Roman" w:eastAsia="Times New Roman" w:hAnsi="Times New Roman" w:cs="Times New Roman"/>
                <w:sz w:val="20"/>
                <w:szCs w:val="20"/>
                <w:lang w:eastAsia="pl-PL"/>
              </w:rPr>
              <w:t xml:space="preserve">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kwalifikują się,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bez konieczności spełnienia kryterium  ust.1 </w:t>
            </w:r>
            <w:proofErr w:type="spellStart"/>
            <w:r w:rsidRPr="00015CAA">
              <w:rPr>
                <w:rFonts w:ascii="Times New Roman" w:eastAsia="Times New Roman" w:hAnsi="Times New Roman" w:cs="Times New Roman"/>
                <w:sz w:val="20"/>
                <w:szCs w:val="20"/>
                <w:lang w:eastAsia="pl-PL"/>
              </w:rPr>
              <w:t>pkt</w:t>
            </w:r>
            <w:proofErr w:type="spellEnd"/>
            <w:r w:rsidRPr="00015CAA">
              <w:rPr>
                <w:rFonts w:ascii="Times New Roman" w:eastAsia="Times New Roman" w:hAnsi="Times New Roman" w:cs="Times New Roman"/>
                <w:sz w:val="20"/>
                <w:szCs w:val="20"/>
                <w:lang w:eastAsia="pl-PL"/>
              </w:rPr>
              <w:t xml:space="preserve"> 2a) części dotyczącej RZS niniejszego programu , pacjenci poddani leczeniu RZS w ramach programów lekowych jednym lub dwoma inhibitorami TNF alfa, lub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u których:</w:t>
            </w:r>
          </w:p>
          <w:p w:rsidR="007A01C9" w:rsidRPr="00015CAA" w:rsidRDefault="007A01C9" w:rsidP="003D77A0">
            <w:pPr>
              <w:numPr>
                <w:ilvl w:val="0"/>
                <w:numId w:val="46"/>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wystąpiła ciężka reakcja uczuleniowa na substancję czynną lub pomocniczą,  lub </w:t>
            </w:r>
          </w:p>
          <w:p w:rsidR="007A01C9" w:rsidRPr="00015CAA" w:rsidRDefault="007A01C9" w:rsidP="003D77A0">
            <w:pPr>
              <w:numPr>
                <w:ilvl w:val="0"/>
                <w:numId w:val="46"/>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wystąpiły ciężkie działania niepożądane uniemożliwiające kontynuowanie terapii, które  nie ustępują mimo dostosowywania dawki leku zgodnie z </w:t>
            </w:r>
            <w:proofErr w:type="spellStart"/>
            <w:r w:rsidRPr="00015CAA">
              <w:rPr>
                <w:rFonts w:ascii="Times New Roman" w:eastAsia="Times New Roman" w:hAnsi="Times New Roman" w:cs="Times New Roman"/>
                <w:sz w:val="20"/>
                <w:szCs w:val="20"/>
                <w:lang w:eastAsia="pl-PL"/>
              </w:rPr>
              <w:t>ChPL</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46"/>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stwierdzono brak albo utratę odpowiedzi na zastosowane leczenie (zgodnie z definicją zawartą w kryteriach wyłączenia z programu w programach lekowych dotyczących leczenia RZS).</w:t>
            </w:r>
          </w:p>
          <w:p w:rsidR="007A01C9" w:rsidRPr="00015CAA" w:rsidRDefault="007A01C9" w:rsidP="003D77A0">
            <w:pPr>
              <w:numPr>
                <w:ilvl w:val="0"/>
                <w:numId w:val="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lastRenderedPageBreak/>
              <w:t>W ramach programów lekowych dotyczących leczenia RZS nie jest możliwe zastosowanie więcej niż 4 leków biologicznych, w tym nie więcej niż 2 inhibitorów TNF alfa.</w:t>
            </w:r>
          </w:p>
          <w:p w:rsidR="007A01C9" w:rsidRPr="00015CAA" w:rsidRDefault="007A01C9" w:rsidP="003D77A0">
            <w:pPr>
              <w:numPr>
                <w:ilvl w:val="0"/>
                <w:numId w:val="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 ramach programu nie dopuszcza się możliwości ponownej kwalifikacji do terapii substancją czynną, którą pacjent był leczony w przeszłości nieskutecznie.</w:t>
            </w:r>
          </w:p>
          <w:p w:rsidR="007A01C9" w:rsidRPr="00015CAA" w:rsidRDefault="007A01C9" w:rsidP="003D77A0">
            <w:pPr>
              <w:numPr>
                <w:ilvl w:val="0"/>
                <w:numId w:val="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 przypadku kobiet wymagana jest zgoda na świadomą kontrolę urodzeń  przez okres leczenia i do 6 miesięcy po zastosowaniu ostatniej dawki inhibitora TNF alfa  albo</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do 3 miesięcy po zastosowaniu ostatniej dawki </w:t>
            </w:r>
            <w:proofErr w:type="spellStart"/>
            <w:r w:rsidRPr="00015CAA">
              <w:rPr>
                <w:rFonts w:ascii="Times New Roman" w:eastAsia="Times New Roman" w:hAnsi="Times New Roman" w:cs="Times New Roman"/>
                <w:sz w:val="20"/>
                <w:szCs w:val="20"/>
                <w:lang w:eastAsia="pl-PL"/>
              </w:rPr>
              <w:t>tocilizumabu</w:t>
            </w:r>
            <w:proofErr w:type="spellEnd"/>
            <w:r w:rsidRPr="00015CAA">
              <w:rPr>
                <w:rFonts w:ascii="Times New Roman" w:eastAsia="Times New Roman" w:hAnsi="Times New Roman" w:cs="Times New Roman"/>
                <w:sz w:val="20"/>
                <w:szCs w:val="20"/>
                <w:lang w:eastAsia="pl-PL"/>
              </w:rPr>
              <w:t xml:space="preserve">, albo do 12 miesięcy po zastosowaniu ostatniej dawki </w:t>
            </w:r>
            <w:proofErr w:type="spellStart"/>
            <w:r w:rsidRPr="00015CAA">
              <w:rPr>
                <w:rFonts w:ascii="Times New Roman" w:eastAsia="Times New Roman" w:hAnsi="Times New Roman" w:cs="Times New Roman"/>
                <w:sz w:val="20"/>
                <w:szCs w:val="20"/>
                <w:lang w:eastAsia="pl-PL"/>
              </w:rPr>
              <w:t>rytuksymabu</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spacing w:after="0"/>
              <w:rPr>
                <w:rFonts w:ascii="Times New Roman" w:eastAsia="Times New Roman" w:hAnsi="Times New Roman" w:cs="Times New Roman"/>
                <w:sz w:val="20"/>
                <w:szCs w:val="20"/>
                <w:lang w:eastAsia="pl-PL"/>
              </w:rPr>
            </w:pPr>
          </w:p>
          <w:p w:rsidR="007A01C9" w:rsidRPr="00015CAA" w:rsidRDefault="007A01C9" w:rsidP="003D77A0">
            <w:pPr>
              <w:numPr>
                <w:ilvl w:val="0"/>
                <w:numId w:val="1"/>
              </w:numPr>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Kryteria stanowiące przeciwwskazania do udziału w programie:</w:t>
            </w:r>
          </w:p>
          <w:p w:rsidR="007A01C9" w:rsidRPr="00015CAA" w:rsidRDefault="007A01C9" w:rsidP="003D77A0">
            <w:pPr>
              <w:spacing w:after="0"/>
              <w:ind w:left="357"/>
              <w:rPr>
                <w:rFonts w:ascii="Times New Roman" w:eastAsia="Times New Roman" w:hAnsi="Times New Roman" w:cs="Times New Roman"/>
                <w:b/>
                <w:sz w:val="20"/>
                <w:szCs w:val="20"/>
                <w:lang w:eastAsia="pl-PL"/>
              </w:rPr>
            </w:pP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ciąża lub laktacja;</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nadwrażliwość na substancję czynną lub pomocniczą;</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aktywne, ciężkie zakażenia wirusowe, bakteryjne, grzybicze lub </w:t>
            </w:r>
            <w:proofErr w:type="spellStart"/>
            <w:r w:rsidRPr="00015CAA">
              <w:rPr>
                <w:rFonts w:ascii="Times New Roman" w:eastAsia="Times New Roman" w:hAnsi="Times New Roman" w:cs="Times New Roman"/>
                <w:sz w:val="20"/>
                <w:szCs w:val="20"/>
                <w:lang w:eastAsia="pl-PL"/>
              </w:rPr>
              <w:t>pierwotniakowe</w:t>
            </w:r>
            <w:proofErr w:type="spellEnd"/>
            <w:r w:rsidRPr="00015CAA">
              <w:rPr>
                <w:rFonts w:ascii="Times New Roman" w:eastAsia="Times New Roman" w:hAnsi="Times New Roman" w:cs="Times New Roman"/>
                <w:sz w:val="20"/>
                <w:szCs w:val="20"/>
                <w:lang w:eastAsia="pl-PL"/>
              </w:rPr>
              <w:t xml:space="preserve"> (w szczególności: gruźlica, WZW typu B lub C);</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przebycie w okresie ostatnich trzech miesięcy infekcji, takich jak:</w:t>
            </w:r>
          </w:p>
          <w:p w:rsidR="007A01C9" w:rsidRPr="00015CAA" w:rsidRDefault="007A01C9" w:rsidP="003D77A0">
            <w:pPr>
              <w:numPr>
                <w:ilvl w:val="0"/>
                <w:numId w:val="10"/>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zapalenie wątroby, </w:t>
            </w:r>
          </w:p>
          <w:p w:rsidR="007A01C9" w:rsidRPr="00015CAA" w:rsidRDefault="007A01C9" w:rsidP="003D77A0">
            <w:pPr>
              <w:numPr>
                <w:ilvl w:val="0"/>
                <w:numId w:val="10"/>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zapalenie płuc, </w:t>
            </w:r>
          </w:p>
          <w:p w:rsidR="007A01C9" w:rsidRPr="00015CAA" w:rsidRDefault="007A01C9" w:rsidP="003D77A0">
            <w:pPr>
              <w:numPr>
                <w:ilvl w:val="0"/>
                <w:numId w:val="10"/>
              </w:numPr>
              <w:spacing w:after="0"/>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odmiedniczkowe</w:t>
            </w:r>
            <w:proofErr w:type="spellEnd"/>
            <w:r w:rsidRPr="00015CAA">
              <w:rPr>
                <w:rFonts w:ascii="Times New Roman" w:eastAsia="Times New Roman" w:hAnsi="Times New Roman" w:cs="Times New Roman"/>
                <w:sz w:val="20"/>
                <w:szCs w:val="20"/>
                <w:lang w:eastAsia="pl-PL"/>
              </w:rPr>
              <w:t xml:space="preserve"> zapalenie nerek; </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przebycie w okresie ostatnich dwóch  miesięcy choroby wywołanej przez:</w:t>
            </w:r>
          </w:p>
          <w:p w:rsidR="007A01C9" w:rsidRPr="00015CAA" w:rsidRDefault="007A01C9" w:rsidP="003D77A0">
            <w:pPr>
              <w:numPr>
                <w:ilvl w:val="0"/>
                <w:numId w:val="11"/>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wirus cytomegalii,</w:t>
            </w:r>
          </w:p>
          <w:p w:rsidR="007A01C9" w:rsidRPr="00015CAA" w:rsidRDefault="007A01C9" w:rsidP="003D77A0">
            <w:pPr>
              <w:numPr>
                <w:ilvl w:val="0"/>
                <w:numId w:val="11"/>
              </w:numPr>
              <w:spacing w:after="0"/>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Pneumocystis</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jiroveci</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carini</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11"/>
              </w:numPr>
              <w:spacing w:after="0"/>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Mycobacterium</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tuberculosis</w:t>
            </w:r>
            <w:proofErr w:type="spellEnd"/>
            <w:r w:rsidRPr="00015CAA">
              <w:rPr>
                <w:rFonts w:ascii="Times New Roman" w:eastAsia="Times New Roman" w:hAnsi="Times New Roman" w:cs="Times New Roman"/>
                <w:sz w:val="20"/>
                <w:szCs w:val="20"/>
                <w:lang w:eastAsia="pl-PL"/>
              </w:rPr>
              <w:t xml:space="preserve"> lub inne lekooporne </w:t>
            </w:r>
            <w:proofErr w:type="spellStart"/>
            <w:r w:rsidRPr="00015CAA">
              <w:rPr>
                <w:rFonts w:ascii="Times New Roman" w:eastAsia="Times New Roman" w:hAnsi="Times New Roman" w:cs="Times New Roman"/>
                <w:sz w:val="20"/>
                <w:szCs w:val="20"/>
                <w:lang w:eastAsia="pl-PL"/>
              </w:rPr>
              <w:t>mykobakterie</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lastRenderedPageBreak/>
              <w:t>infekcja HIV;</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umiarkowana lub ciężka niewydolność serca, płuc, nerek, wątroby;</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choroby demielinizacyjne;</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toczeń rumieniowaty układowy;</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pancytopenia i niedokrwistość </w:t>
            </w:r>
            <w:proofErr w:type="spellStart"/>
            <w:r w:rsidRPr="00015CAA">
              <w:rPr>
                <w:rFonts w:ascii="Times New Roman" w:eastAsia="Times New Roman" w:hAnsi="Times New Roman" w:cs="Times New Roman"/>
                <w:sz w:val="20"/>
                <w:szCs w:val="20"/>
                <w:lang w:eastAsia="pl-PL"/>
              </w:rPr>
              <w:t>aplastyczna</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stany przedrakowe, czynna choroba nowotworowa lub choroba nowotworowa, od zakończenia leczenia której nie upłynęło co najmniej pięć lat;</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aktywna przewlekła choroba wątroby;</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inne okoliczności dyskwalifikujące do terapii daną substancją czynną leku biologicznego – wg decyzji lekarza prowadzącego; </w:t>
            </w:r>
          </w:p>
          <w:p w:rsidR="007A01C9" w:rsidRPr="00015CAA" w:rsidRDefault="007A01C9" w:rsidP="003D77A0">
            <w:pPr>
              <w:numPr>
                <w:ilvl w:val="0"/>
                <w:numId w:val="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aktywność </w:t>
            </w:r>
            <w:proofErr w:type="spellStart"/>
            <w:r w:rsidRPr="00015CAA">
              <w:rPr>
                <w:rFonts w:ascii="Times New Roman" w:eastAsia="Times New Roman" w:hAnsi="Times New Roman" w:cs="Times New Roman"/>
                <w:sz w:val="20"/>
                <w:szCs w:val="20"/>
                <w:lang w:eastAsia="pl-PL"/>
              </w:rPr>
              <w:t>AlAT</w:t>
            </w:r>
            <w:proofErr w:type="spellEnd"/>
            <w:r w:rsidRPr="00015CAA">
              <w:rPr>
                <w:rFonts w:ascii="Times New Roman" w:eastAsia="Times New Roman" w:hAnsi="Times New Roman" w:cs="Times New Roman"/>
                <w:sz w:val="20"/>
                <w:szCs w:val="20"/>
                <w:lang w:eastAsia="pl-PL"/>
              </w:rPr>
              <w:t xml:space="preserve"> lub </w:t>
            </w:r>
            <w:proofErr w:type="spellStart"/>
            <w:r w:rsidRPr="00015CAA">
              <w:rPr>
                <w:rFonts w:ascii="Times New Roman" w:eastAsia="Times New Roman" w:hAnsi="Times New Roman" w:cs="Times New Roman"/>
                <w:sz w:val="20"/>
                <w:szCs w:val="20"/>
                <w:lang w:eastAsia="pl-PL"/>
              </w:rPr>
              <w:t>AspAT</w:t>
            </w:r>
            <w:proofErr w:type="spellEnd"/>
            <w:r w:rsidRPr="00015CAA">
              <w:rPr>
                <w:rFonts w:ascii="Times New Roman" w:eastAsia="Times New Roman" w:hAnsi="Times New Roman" w:cs="Times New Roman"/>
                <w:sz w:val="20"/>
                <w:szCs w:val="20"/>
                <w:lang w:eastAsia="pl-PL"/>
              </w:rPr>
              <w:t xml:space="preserve"> przekraczająca pięciokrotnie górną granicę normy lub bezwzględna liczba granulocytów obojętnochłonnych mniejsza niż 0,5 x10</w:t>
            </w:r>
            <w:r w:rsidRPr="00015CAA">
              <w:rPr>
                <w:rFonts w:ascii="Times New Roman" w:eastAsia="Times New Roman" w:hAnsi="Times New Roman" w:cs="Times New Roman"/>
                <w:sz w:val="20"/>
                <w:szCs w:val="20"/>
                <w:vertAlign w:val="superscript"/>
                <w:lang w:eastAsia="pl-PL"/>
              </w:rPr>
              <w:t>9</w:t>
            </w:r>
            <w:r w:rsidRPr="00015CAA">
              <w:rPr>
                <w:rFonts w:ascii="Times New Roman" w:eastAsia="Times New Roman" w:hAnsi="Times New Roman" w:cs="Times New Roman"/>
                <w:sz w:val="20"/>
                <w:szCs w:val="20"/>
                <w:lang w:eastAsia="pl-PL"/>
              </w:rPr>
              <w:t>/l, lub liczba płytek krwi mniejsza od 50 x 10</w:t>
            </w:r>
            <w:r w:rsidRPr="00015CAA">
              <w:rPr>
                <w:rFonts w:ascii="Times New Roman" w:eastAsia="Times New Roman" w:hAnsi="Times New Roman" w:cs="Times New Roman"/>
                <w:sz w:val="20"/>
                <w:szCs w:val="20"/>
                <w:vertAlign w:val="superscript"/>
                <w:lang w:eastAsia="pl-PL"/>
              </w:rPr>
              <w:t>3</w:t>
            </w:r>
            <w:r w:rsidRPr="00015CAA">
              <w:rPr>
                <w:rFonts w:ascii="Times New Roman" w:eastAsia="Times New Roman" w:hAnsi="Times New Roman" w:cs="Times New Roman"/>
                <w:sz w:val="20"/>
                <w:szCs w:val="20"/>
                <w:lang w:eastAsia="pl-PL"/>
              </w:rPr>
              <w:t>/</w:t>
            </w:r>
            <w:proofErr w:type="spellStart"/>
            <w:r w:rsidRPr="00015CAA">
              <w:rPr>
                <w:rFonts w:ascii="Times New Roman" w:eastAsia="Times New Roman" w:hAnsi="Times New Roman" w:cs="Times New Roman"/>
                <w:sz w:val="20"/>
                <w:szCs w:val="20"/>
                <w:lang w:eastAsia="pl-PL"/>
              </w:rPr>
              <w:t>μl</w:t>
            </w:r>
            <w:proofErr w:type="spellEnd"/>
            <w:r w:rsidRPr="00015CAA">
              <w:rPr>
                <w:rFonts w:ascii="Times New Roman" w:eastAsia="Times New Roman" w:hAnsi="Times New Roman" w:cs="Times New Roman"/>
                <w:sz w:val="20"/>
                <w:szCs w:val="20"/>
                <w:lang w:eastAsia="pl-PL"/>
              </w:rPr>
              <w:t xml:space="preserve"> - w przypadku kwalifikowania do terapii </w:t>
            </w:r>
            <w:proofErr w:type="spellStart"/>
            <w:r w:rsidRPr="00015CAA">
              <w:rPr>
                <w:rFonts w:ascii="Times New Roman" w:eastAsia="Times New Roman" w:hAnsi="Times New Roman" w:cs="Times New Roman"/>
                <w:sz w:val="20"/>
                <w:szCs w:val="20"/>
                <w:lang w:eastAsia="pl-PL"/>
              </w:rPr>
              <w:t>tocilizumabem</w:t>
            </w:r>
            <w:proofErr w:type="spellEnd"/>
          </w:p>
          <w:p w:rsidR="007A01C9" w:rsidRPr="00015CAA" w:rsidRDefault="007A01C9" w:rsidP="003D77A0">
            <w:pPr>
              <w:spacing w:after="0"/>
              <w:rPr>
                <w:rFonts w:ascii="Times New Roman" w:eastAsia="Times New Roman" w:hAnsi="Times New Roman" w:cs="Times New Roman"/>
                <w:sz w:val="20"/>
                <w:szCs w:val="20"/>
                <w:lang w:eastAsia="pl-PL"/>
              </w:rPr>
            </w:pPr>
          </w:p>
          <w:p w:rsidR="007A01C9" w:rsidRPr="00015CAA" w:rsidRDefault="007A01C9" w:rsidP="003D77A0">
            <w:pPr>
              <w:numPr>
                <w:ilvl w:val="0"/>
                <w:numId w:val="1"/>
              </w:numPr>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Czas leczenia w programie:</w:t>
            </w:r>
          </w:p>
          <w:p w:rsidR="007A01C9" w:rsidRPr="00015CAA" w:rsidRDefault="007A01C9" w:rsidP="003D77A0">
            <w:pPr>
              <w:spacing w:after="0"/>
              <w:ind w:left="357"/>
              <w:rPr>
                <w:rFonts w:ascii="Times New Roman" w:eastAsia="Times New Roman" w:hAnsi="Times New Roman" w:cs="Times New Roman"/>
                <w:b/>
                <w:sz w:val="20"/>
                <w:szCs w:val="20"/>
                <w:lang w:eastAsia="pl-PL"/>
              </w:rPr>
            </w:pPr>
          </w:p>
          <w:p w:rsidR="007A01C9" w:rsidRPr="00015CAA" w:rsidRDefault="007A01C9" w:rsidP="003D77A0">
            <w:pPr>
              <w:numPr>
                <w:ilvl w:val="0"/>
                <w:numId w:val="7"/>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Kryteria kwalifikacji i wyłączenia z programu określają czas leczenia w programie. </w:t>
            </w:r>
          </w:p>
          <w:p w:rsidR="007A01C9" w:rsidRPr="00015CAA" w:rsidRDefault="007A01C9" w:rsidP="003D77A0">
            <w:pPr>
              <w:numPr>
                <w:ilvl w:val="0"/>
                <w:numId w:val="7"/>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Czas leczenia daną substancją czynną w ramach  programu nie może być dłuższy niż 18 miesięcy, z zastrzeżeniem ust. 5. pkt. 1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w części dotyczącej RZS niniejszego programu</w:t>
            </w:r>
          </w:p>
          <w:p w:rsidR="007A01C9" w:rsidRPr="00015CAA" w:rsidRDefault="007A01C9" w:rsidP="003D77A0">
            <w:pPr>
              <w:spacing w:after="0"/>
              <w:rPr>
                <w:rFonts w:ascii="Times New Roman" w:eastAsia="Times New Roman" w:hAnsi="Times New Roman" w:cs="Times New Roman"/>
                <w:sz w:val="20"/>
                <w:szCs w:val="20"/>
                <w:lang w:eastAsia="pl-PL"/>
              </w:rPr>
            </w:pPr>
          </w:p>
          <w:p w:rsidR="007A01C9" w:rsidRPr="00015CAA" w:rsidRDefault="007A01C9" w:rsidP="003D77A0">
            <w:pPr>
              <w:numPr>
                <w:ilvl w:val="0"/>
                <w:numId w:val="1"/>
              </w:numPr>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Kryteria wyłączenia z programu:</w:t>
            </w:r>
          </w:p>
          <w:p w:rsidR="007A01C9" w:rsidRPr="00015CAA" w:rsidRDefault="007A01C9" w:rsidP="003D77A0">
            <w:pPr>
              <w:spacing w:after="0"/>
              <w:ind w:left="357"/>
              <w:rPr>
                <w:rFonts w:ascii="Times New Roman" w:eastAsia="Times New Roman" w:hAnsi="Times New Roman" w:cs="Times New Roman"/>
                <w:b/>
                <w:sz w:val="20"/>
                <w:szCs w:val="20"/>
                <w:lang w:eastAsia="pl-PL"/>
              </w:rPr>
            </w:pPr>
          </w:p>
          <w:p w:rsidR="007A01C9" w:rsidRPr="00015CAA" w:rsidRDefault="007A01C9" w:rsidP="003D77A0">
            <w:pPr>
              <w:numPr>
                <w:ilvl w:val="0"/>
                <w:numId w:val="3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nie stwierdzenie po 3 miesiącach od pierwszego podania inhibitora TNF alfa albo </w:t>
            </w:r>
            <w:proofErr w:type="spellStart"/>
            <w:r w:rsidRPr="00015CAA">
              <w:rPr>
                <w:rFonts w:ascii="Times New Roman" w:eastAsia="Times New Roman" w:hAnsi="Times New Roman" w:cs="Times New Roman"/>
                <w:sz w:val="20"/>
                <w:szCs w:val="20"/>
                <w:lang w:eastAsia="pl-PL"/>
              </w:rPr>
              <w:t>tocilizumabu</w:t>
            </w:r>
            <w:proofErr w:type="spellEnd"/>
            <w:r w:rsidRPr="00015CAA">
              <w:rPr>
                <w:rFonts w:ascii="Times New Roman" w:eastAsia="Times New Roman" w:hAnsi="Times New Roman" w:cs="Times New Roman"/>
                <w:sz w:val="20"/>
                <w:szCs w:val="20"/>
                <w:lang w:eastAsia="pl-PL"/>
              </w:rPr>
              <w:t xml:space="preserve"> osiągnięcia co najmniej umiarkowanej aktywności choroby mierzonej wskaźnikiem DAS 28 ≤ 5,1 albo DAS ≤3,7, albo SDAI ≤ </w:t>
            </w:r>
            <w:r w:rsidRPr="00015CAA">
              <w:rPr>
                <w:rFonts w:ascii="Times New Roman" w:eastAsia="Times New Roman" w:hAnsi="Times New Roman" w:cs="Times New Roman"/>
                <w:sz w:val="20"/>
                <w:szCs w:val="20"/>
                <w:lang w:eastAsia="pl-PL"/>
              </w:rPr>
              <w:lastRenderedPageBreak/>
              <w:t>26;</w:t>
            </w:r>
          </w:p>
          <w:p w:rsidR="007A01C9" w:rsidRPr="00015CAA" w:rsidRDefault="007A01C9" w:rsidP="003D77A0">
            <w:pPr>
              <w:numPr>
                <w:ilvl w:val="0"/>
                <w:numId w:val="3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nie stwierdzenie po 6 miesiącach od pierwszego podania substancji czynnej leku biologicznego osiągnięcia remisji, lub niskiej aktywności choroby, gdy osiągnięcie w tym czasie remisji nie jest możliwe. Miernikiem niskiej aktywności choroby jest DAS 28 ≤ 3,2 albo DAS ≤2,4, albo SDAI ≤ 11. Miernikiem remisji jest wartość  DAS 28 ≤ 2,6 albo DAS ≤1,6, albo SDAI ≤ 3,3;</w:t>
            </w:r>
          </w:p>
          <w:p w:rsidR="007A01C9" w:rsidRPr="00015CAA" w:rsidRDefault="007A01C9" w:rsidP="003D77A0">
            <w:pPr>
              <w:numPr>
                <w:ilvl w:val="0"/>
                <w:numId w:val="32"/>
              </w:numPr>
              <w:spacing w:after="0"/>
              <w:ind w:left="357" w:hanging="357"/>
              <w:rPr>
                <w:rFonts w:ascii="(Użyj czcionki tekstu azjatycki" w:eastAsia="Times New Roman" w:hAnsi="(Użyj czcionki tekstu azjatycki" w:cs="Times New Roman"/>
                <w:sz w:val="20"/>
                <w:szCs w:val="20"/>
                <w:lang w:eastAsia="pl-PL"/>
              </w:rPr>
            </w:pPr>
            <w:r w:rsidRPr="00015CAA">
              <w:rPr>
                <w:rFonts w:ascii="Times New Roman" w:eastAsia="Times New Roman" w:hAnsi="Times New Roman" w:cs="Times New Roman"/>
                <w:sz w:val="20"/>
                <w:szCs w:val="20"/>
                <w:lang w:eastAsia="pl-PL"/>
              </w:rPr>
              <w:t>utrata adekwatnej odpowiedzi na leczenie, tj.: stwierdzenie w trakcie dwóch kolejnych wizyt lekarskich zaostrzenia, tak że pacjent przestaje spełniać kryteria remisji lub niskiej aktywności choroby, jeżeli uzyskanie remisji nie było możliwe;</w:t>
            </w:r>
          </w:p>
          <w:p w:rsidR="007A01C9" w:rsidRPr="00015CAA" w:rsidRDefault="007A01C9" w:rsidP="003D77A0">
            <w:pPr>
              <w:numPr>
                <w:ilvl w:val="0"/>
                <w:numId w:val="32"/>
              </w:numPr>
              <w:spacing w:after="0"/>
              <w:ind w:left="357" w:hanging="357"/>
              <w:rPr>
                <w:rFonts w:ascii="(Użyj czcionki tekstu azjatycki" w:eastAsia="Times New Roman" w:hAnsi="(Użyj czcionki tekstu azjatycki" w:cs="Times New Roman"/>
                <w:sz w:val="20"/>
                <w:szCs w:val="20"/>
                <w:lang w:eastAsia="pl-PL"/>
              </w:rPr>
            </w:pPr>
            <w:r w:rsidRPr="00015CAA">
              <w:rPr>
                <w:rFonts w:ascii="(Użyj czcionki tekstu azjatycki" w:eastAsia="Times New Roman" w:hAnsi="(Użyj czcionki tekstu azjatycki" w:cs="Times New Roman"/>
                <w:sz w:val="20"/>
                <w:szCs w:val="20"/>
                <w:lang w:eastAsia="pl-PL"/>
              </w:rPr>
              <w:t>u</w:t>
            </w:r>
            <w:r w:rsidRPr="00015CAA">
              <w:rPr>
                <w:rFonts w:ascii="(Użyj czcionki tekstu azjatycki" w:eastAsia="Times New Roman" w:hAnsi="(Użyj czcionki tekstu azjatycki" w:cs="Times New Roman" w:hint="eastAsia"/>
                <w:sz w:val="20"/>
                <w:szCs w:val="20"/>
                <w:lang w:eastAsia="pl-PL"/>
              </w:rPr>
              <w:t>trzymywanie</w:t>
            </w:r>
            <w:r w:rsidRPr="00015CAA">
              <w:rPr>
                <w:rFonts w:ascii="(Użyj czcionki tekstu azjatycki" w:eastAsia="Times New Roman" w:hAnsi="(Użyj czcionki tekstu azjatycki" w:cs="Times New Roman"/>
                <w:sz w:val="20"/>
                <w:szCs w:val="20"/>
                <w:lang w:eastAsia="pl-PL"/>
              </w:rPr>
              <w:t xml:space="preserve"> się przez okres 12 miesięcy remisji lub niskiej aktywności choroby - jeżeli uzyskanie</w:t>
            </w:r>
            <w:r w:rsidRPr="00015CAA">
              <w:rPr>
                <w:rFonts w:ascii="Times New Roman" w:eastAsia="Times New Roman" w:hAnsi="Times New Roman" w:cs="Times New Roman"/>
                <w:sz w:val="24"/>
                <w:szCs w:val="24"/>
                <w:lang w:eastAsia="pl-PL"/>
              </w:rPr>
              <w:t xml:space="preserve"> </w:t>
            </w:r>
            <w:r w:rsidRPr="00015CAA">
              <w:rPr>
                <w:rFonts w:ascii="(Użyj czcionki tekstu azjatycki" w:eastAsia="Times New Roman" w:hAnsi="(Użyj czcionki tekstu azjatycki" w:cs="Times New Roman"/>
                <w:sz w:val="20"/>
                <w:szCs w:val="20"/>
                <w:lang w:eastAsia="pl-PL"/>
              </w:rPr>
              <w:t xml:space="preserve">remisji </w:t>
            </w:r>
            <w:r w:rsidRPr="00015CAA">
              <w:rPr>
                <w:rFonts w:ascii="Times New Roman" w:eastAsia="Times New Roman" w:hAnsi="Times New Roman" w:cs="Times New Roman"/>
                <w:sz w:val="24"/>
                <w:szCs w:val="24"/>
                <w:lang w:eastAsia="pl-PL"/>
              </w:rPr>
              <w:t xml:space="preserve"> </w:t>
            </w:r>
            <w:r w:rsidRPr="00015CAA">
              <w:rPr>
                <w:rFonts w:ascii="(Użyj czcionki tekstu azjatycki" w:eastAsia="Times New Roman" w:hAnsi="(Użyj czcionki tekstu azjatycki" w:cs="Times New Roman"/>
                <w:sz w:val="20"/>
                <w:szCs w:val="20"/>
                <w:lang w:eastAsia="pl-PL"/>
              </w:rPr>
              <w:t>nie było możliwe w ciągu pierwszych sześciu miesięcy terapii daną substancją czynną;</w:t>
            </w:r>
          </w:p>
          <w:p w:rsidR="007A01C9" w:rsidRPr="00015CAA" w:rsidRDefault="007A01C9" w:rsidP="003D77A0">
            <w:pPr>
              <w:numPr>
                <w:ilvl w:val="0"/>
                <w:numId w:val="3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wystąpienie działań niepożądanych, takich jak:</w:t>
            </w:r>
          </w:p>
          <w:p w:rsidR="007A01C9" w:rsidRPr="00015CAA" w:rsidRDefault="007A01C9" w:rsidP="003D77A0">
            <w:pPr>
              <w:numPr>
                <w:ilvl w:val="0"/>
                <w:numId w:val="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reakcja alergiczna na lek,</w:t>
            </w:r>
          </w:p>
          <w:p w:rsidR="007A01C9" w:rsidRPr="00015CAA" w:rsidRDefault="007A01C9" w:rsidP="003D77A0">
            <w:pPr>
              <w:numPr>
                <w:ilvl w:val="0"/>
                <w:numId w:val="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zakażenie o ciężkim przebiegu, </w:t>
            </w:r>
          </w:p>
          <w:p w:rsidR="007A01C9" w:rsidRPr="00015CAA" w:rsidRDefault="007A01C9" w:rsidP="003D77A0">
            <w:pPr>
              <w:numPr>
                <w:ilvl w:val="0"/>
                <w:numId w:val="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nasilenie się objawów niewydolności serca, płuc, nerek, wątroby, </w:t>
            </w:r>
          </w:p>
          <w:p w:rsidR="007A01C9" w:rsidRPr="00015CAA" w:rsidRDefault="007A01C9" w:rsidP="003D77A0">
            <w:pPr>
              <w:numPr>
                <w:ilvl w:val="0"/>
                <w:numId w:val="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pancytopenia i niedokrwistość </w:t>
            </w:r>
            <w:proofErr w:type="spellStart"/>
            <w:r w:rsidRPr="00015CAA">
              <w:rPr>
                <w:rFonts w:ascii="Times New Roman" w:eastAsia="Times New Roman" w:hAnsi="Times New Roman" w:cs="Times New Roman"/>
                <w:sz w:val="20"/>
                <w:szCs w:val="20"/>
                <w:lang w:eastAsia="pl-PL"/>
              </w:rPr>
              <w:t>aplastyczna</w:t>
            </w:r>
            <w:proofErr w:type="spellEnd"/>
            <w:r w:rsidRPr="00015CAA">
              <w:rPr>
                <w:rFonts w:ascii="Times New Roman" w:eastAsia="Times New Roman" w:hAnsi="Times New Roman" w:cs="Times New Roman"/>
                <w:sz w:val="20"/>
                <w:szCs w:val="20"/>
                <w:lang w:eastAsia="pl-PL"/>
              </w:rPr>
              <w:t xml:space="preserve">, </w:t>
            </w:r>
          </w:p>
          <w:p w:rsidR="007A01C9" w:rsidRPr="00015CAA" w:rsidRDefault="007A01C9" w:rsidP="003D77A0">
            <w:pPr>
              <w:numPr>
                <w:ilvl w:val="0"/>
                <w:numId w:val="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stwierdzenie choroby nowotworowej,</w:t>
            </w:r>
          </w:p>
          <w:p w:rsidR="007A01C9" w:rsidRPr="00015CAA" w:rsidRDefault="007A01C9" w:rsidP="003D77A0">
            <w:pPr>
              <w:numPr>
                <w:ilvl w:val="0"/>
                <w:numId w:val="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inne, wymienione w </w:t>
            </w:r>
            <w:proofErr w:type="spellStart"/>
            <w:r w:rsidRPr="00015CAA">
              <w:rPr>
                <w:rFonts w:ascii="Times New Roman" w:eastAsia="Times New Roman" w:hAnsi="Times New Roman" w:cs="Times New Roman"/>
                <w:sz w:val="20"/>
                <w:szCs w:val="20"/>
                <w:lang w:eastAsia="pl-PL"/>
              </w:rPr>
              <w:t>przeciwskazaniach</w:t>
            </w:r>
            <w:proofErr w:type="spellEnd"/>
            <w:r w:rsidRPr="00015CAA">
              <w:rPr>
                <w:rFonts w:ascii="Times New Roman" w:eastAsia="Times New Roman" w:hAnsi="Times New Roman" w:cs="Times New Roman"/>
                <w:sz w:val="20"/>
                <w:szCs w:val="20"/>
                <w:lang w:eastAsia="pl-PL"/>
              </w:rPr>
              <w:t xml:space="preserve"> do udziału w programie; </w:t>
            </w:r>
          </w:p>
          <w:p w:rsidR="007A01C9" w:rsidRPr="00015CAA" w:rsidRDefault="007A01C9" w:rsidP="003D77A0">
            <w:pPr>
              <w:numPr>
                <w:ilvl w:val="0"/>
                <w:numId w:val="32"/>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leczenie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należy przerwać w przypadku utrzymywania się w kolejnych oznaczeniach co 4 tygodnie aktywności </w:t>
            </w:r>
            <w:proofErr w:type="spellStart"/>
            <w:r w:rsidRPr="00015CAA">
              <w:rPr>
                <w:rFonts w:ascii="Times New Roman" w:eastAsia="Times New Roman" w:hAnsi="Times New Roman" w:cs="Times New Roman"/>
                <w:sz w:val="20"/>
                <w:szCs w:val="20"/>
                <w:lang w:eastAsia="pl-PL"/>
              </w:rPr>
              <w:t>AlAT</w:t>
            </w:r>
            <w:proofErr w:type="spellEnd"/>
            <w:r w:rsidRPr="00015CAA">
              <w:rPr>
                <w:rFonts w:ascii="Times New Roman" w:eastAsia="Times New Roman" w:hAnsi="Times New Roman" w:cs="Times New Roman"/>
                <w:sz w:val="20"/>
                <w:szCs w:val="20"/>
                <w:lang w:eastAsia="pl-PL"/>
              </w:rPr>
              <w:t xml:space="preserve"> lub </w:t>
            </w:r>
            <w:proofErr w:type="spellStart"/>
            <w:r w:rsidRPr="00015CAA">
              <w:rPr>
                <w:rFonts w:ascii="Times New Roman" w:eastAsia="Times New Roman" w:hAnsi="Times New Roman" w:cs="Times New Roman"/>
                <w:sz w:val="20"/>
                <w:szCs w:val="20"/>
                <w:lang w:eastAsia="pl-PL"/>
              </w:rPr>
              <w:t>AspAT</w:t>
            </w:r>
            <w:proofErr w:type="spellEnd"/>
            <w:r w:rsidRPr="00015CAA">
              <w:rPr>
                <w:rFonts w:ascii="Times New Roman" w:eastAsia="Times New Roman" w:hAnsi="Times New Roman" w:cs="Times New Roman"/>
                <w:sz w:val="20"/>
                <w:szCs w:val="20"/>
                <w:lang w:eastAsia="pl-PL"/>
              </w:rPr>
              <w:t xml:space="preserve"> większej niż trzy razy powyżej górnej granicy normy lub po jednorazowym stwierdzeniu aktywności większej niż pięć razy powyżej górnej granicy normy.</w:t>
            </w:r>
          </w:p>
          <w:p w:rsidR="007A01C9" w:rsidRPr="00015CAA" w:rsidRDefault="007A01C9" w:rsidP="003D77A0">
            <w:pPr>
              <w:spacing w:after="0"/>
              <w:ind w:left="357"/>
              <w:rPr>
                <w:rFonts w:ascii="Times New Roman" w:eastAsia="Times New Roman" w:hAnsi="Times New Roman" w:cs="Times New Roman"/>
                <w:sz w:val="20"/>
                <w:szCs w:val="20"/>
                <w:lang w:eastAsia="pl-PL"/>
              </w:rPr>
            </w:pPr>
          </w:p>
          <w:p w:rsidR="007A01C9" w:rsidRPr="00015CAA" w:rsidRDefault="007A01C9" w:rsidP="003D77A0">
            <w:pPr>
              <w:numPr>
                <w:ilvl w:val="0"/>
                <w:numId w:val="1"/>
              </w:numPr>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lastRenderedPageBreak/>
              <w:t>Kryteria ponownego włączenia do programu:</w:t>
            </w:r>
          </w:p>
          <w:p w:rsidR="007A01C9" w:rsidRPr="00015CAA" w:rsidRDefault="007A01C9" w:rsidP="003D77A0">
            <w:pPr>
              <w:spacing w:after="0"/>
              <w:ind w:left="357"/>
              <w:rPr>
                <w:rFonts w:ascii="Times New Roman" w:eastAsia="Times New Roman" w:hAnsi="Times New Roman" w:cs="Times New Roman"/>
                <w:b/>
                <w:sz w:val="20"/>
                <w:szCs w:val="20"/>
                <w:lang w:eastAsia="pl-PL"/>
              </w:rPr>
            </w:pPr>
          </w:p>
          <w:p w:rsidR="007A01C9" w:rsidRPr="00015CAA" w:rsidRDefault="007A01C9" w:rsidP="003D77A0">
            <w:pPr>
              <w:numPr>
                <w:ilvl w:val="0"/>
                <w:numId w:val="8"/>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Pacjent, u którego zaprzestano podawania leku biologicznego z powodu uzyskania remisji lub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niskiej aktywności choroby, gdy osiągnięcie remisji nie było możliwe i u którego w trakcie badania kontrolnego stwierdzono nawrót choroby, jest włączany do leczenia w ramach programu bez kwalifikacji. Nawrót choroby stwierdza się gdy, w stosunku do wartości obliczonej w momencie odstawienia substancji czynnej leku biologicznego, nastąpił wzrost wartości:</w:t>
            </w:r>
          </w:p>
          <w:p w:rsidR="007A01C9" w:rsidRPr="00015CAA" w:rsidRDefault="007A01C9" w:rsidP="003D77A0">
            <w:pPr>
              <w:numPr>
                <w:ilvl w:val="0"/>
                <w:numId w:val="12"/>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DAS 28 o więcej niż 1,2, tak że jego wartość jest większa niż 3,2 albo</w:t>
            </w:r>
          </w:p>
          <w:p w:rsidR="007A01C9" w:rsidRPr="00015CAA" w:rsidRDefault="007A01C9" w:rsidP="003D77A0">
            <w:pPr>
              <w:numPr>
                <w:ilvl w:val="0"/>
                <w:numId w:val="12"/>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DAS o więcej niż 1,2, tak że jego wartość jest większa niż 2,4, albo </w:t>
            </w:r>
          </w:p>
          <w:p w:rsidR="007A01C9" w:rsidRPr="00015CAA" w:rsidRDefault="007A01C9" w:rsidP="003D77A0">
            <w:pPr>
              <w:numPr>
                <w:ilvl w:val="0"/>
                <w:numId w:val="12"/>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SDAI o więcej niż 5, tak że jego wartość jest większa niż 11.</w:t>
            </w:r>
          </w:p>
          <w:p w:rsidR="007A01C9" w:rsidRPr="00015CAA" w:rsidRDefault="007A01C9" w:rsidP="003D77A0">
            <w:pPr>
              <w:spacing w:after="0"/>
              <w:ind w:left="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Pacjent jest włączany do programu substancją czynną, której zastosowanie wywołało co najmniej niską  aktywność choroby. </w:t>
            </w:r>
          </w:p>
          <w:p w:rsidR="007A01C9" w:rsidRPr="00015CAA" w:rsidRDefault="007A01C9" w:rsidP="003D77A0">
            <w:pPr>
              <w:numPr>
                <w:ilvl w:val="0"/>
                <w:numId w:val="8"/>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Do programu może być ponownie włączony pacjent, u którego zaprzestano podawania substancji czynnej wymienionej w programie i zastosowanej zgodnie z jego treścią z powodu wystąpienia działań niepożądanych, które ustąpiły po odstawieniu leku bądź zastosowanym leczeniu.  </w:t>
            </w:r>
          </w:p>
          <w:p w:rsidR="007A01C9" w:rsidRPr="00015CAA" w:rsidRDefault="007A01C9" w:rsidP="003D77A0">
            <w:p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 </w:t>
            </w:r>
          </w:p>
        </w:tc>
        <w:tc>
          <w:tcPr>
            <w:tcW w:w="1656" w:type="pct"/>
            <w:tcBorders>
              <w:top w:val="single" w:sz="4" w:space="0" w:color="auto"/>
              <w:bottom w:val="single" w:sz="4" w:space="0" w:color="auto"/>
            </w:tcBorders>
          </w:tcPr>
          <w:p w:rsidR="007A01C9" w:rsidRPr="00015CAA" w:rsidRDefault="007A01C9" w:rsidP="003D77A0">
            <w:pPr>
              <w:widowControl w:val="0"/>
              <w:numPr>
                <w:ilvl w:val="0"/>
                <w:numId w:val="15"/>
              </w:numPr>
              <w:autoSpaceDE w:val="0"/>
              <w:autoSpaceDN w:val="0"/>
              <w:adjustRightInd w:val="0"/>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lastRenderedPageBreak/>
              <w:t>Dawkowanie:</w:t>
            </w:r>
          </w:p>
          <w:p w:rsidR="007A01C9" w:rsidRPr="00015CAA" w:rsidRDefault="007A01C9" w:rsidP="003D77A0">
            <w:pPr>
              <w:widowControl w:val="0"/>
              <w:autoSpaceDE w:val="0"/>
              <w:autoSpaceDN w:val="0"/>
              <w:adjustRightInd w:val="0"/>
              <w:spacing w:after="0"/>
              <w:rPr>
                <w:rFonts w:ascii="Times New Roman" w:eastAsia="Times New Roman" w:hAnsi="Times New Roman" w:cs="Times New Roman"/>
                <w:b/>
                <w:sz w:val="20"/>
                <w:szCs w:val="20"/>
                <w:lang w:eastAsia="pl-PL"/>
              </w:rPr>
            </w:pPr>
          </w:p>
          <w:p w:rsidR="007A01C9" w:rsidRPr="00015CAA" w:rsidRDefault="007A01C9" w:rsidP="003D77A0">
            <w:pPr>
              <w:numPr>
                <w:ilvl w:val="0"/>
                <w:numId w:val="1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Inhibitory TNF alfa albo </w:t>
            </w:r>
            <w:proofErr w:type="spellStart"/>
            <w:r w:rsidRPr="00015CAA">
              <w:rPr>
                <w:rFonts w:ascii="Times New Roman" w:eastAsia="Times New Roman" w:hAnsi="Times New Roman" w:cs="Times New Roman"/>
                <w:sz w:val="20"/>
                <w:szCs w:val="20"/>
                <w:lang w:eastAsia="pl-PL"/>
              </w:rPr>
              <w:t>tocilizumab</w:t>
            </w:r>
            <w:proofErr w:type="spellEnd"/>
            <w:r w:rsidRPr="00015CAA">
              <w:rPr>
                <w:rFonts w:ascii="Times New Roman" w:eastAsia="Times New Roman" w:hAnsi="Times New Roman" w:cs="Times New Roman"/>
                <w:sz w:val="20"/>
                <w:szCs w:val="20"/>
                <w:lang w:eastAsia="pl-PL"/>
              </w:rPr>
              <w:t xml:space="preserve">  należy podawać zgodnie z dawkowaniem określonym w aktualnej Charakterystyce Produktu Leczniczego.</w:t>
            </w:r>
          </w:p>
          <w:p w:rsidR="007A01C9" w:rsidRPr="00015CAA" w:rsidRDefault="007A01C9" w:rsidP="003D77A0">
            <w:pPr>
              <w:widowControl w:val="0"/>
              <w:numPr>
                <w:ilvl w:val="0"/>
                <w:numId w:val="16"/>
              </w:numPr>
              <w:autoSpaceDE w:val="0"/>
              <w:autoSpaceDN w:val="0"/>
              <w:adjustRightInd w:val="0"/>
              <w:spacing w:after="0"/>
              <w:ind w:left="357" w:hanging="357"/>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Rytuksymab</w:t>
            </w:r>
            <w:proofErr w:type="spellEnd"/>
            <w:r w:rsidRPr="00015CAA">
              <w:rPr>
                <w:rFonts w:ascii="Times New Roman" w:eastAsia="Times New Roman" w:hAnsi="Times New Roman" w:cs="Times New Roman"/>
                <w:sz w:val="20"/>
                <w:szCs w:val="20"/>
                <w:lang w:eastAsia="pl-PL"/>
              </w:rPr>
              <w:t xml:space="preserve"> należy podać w formie dwóch infuzji dożylnych po 1000 mg w dniach 0 i 14. Kolejny cykl leczenia odbywa się nie wcześniej niż po ocenie skuteczności terapii po 180 dniach terapii.</w:t>
            </w:r>
          </w:p>
          <w:p w:rsidR="007A01C9" w:rsidRPr="00015CAA" w:rsidRDefault="007A01C9" w:rsidP="003D77A0">
            <w:pPr>
              <w:widowControl w:val="0"/>
              <w:numPr>
                <w:ilvl w:val="0"/>
                <w:numId w:val="16"/>
              </w:numPr>
              <w:autoSpaceDE w:val="0"/>
              <w:autoSpaceDN w:val="0"/>
              <w:adjustRightIn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Powyższe leki podaje się z </w:t>
            </w:r>
            <w:proofErr w:type="spellStart"/>
            <w:r w:rsidRPr="00015CAA">
              <w:rPr>
                <w:rFonts w:ascii="Times New Roman" w:eastAsia="Times New Roman" w:hAnsi="Times New Roman" w:cs="Times New Roman"/>
                <w:sz w:val="20"/>
                <w:szCs w:val="20"/>
                <w:lang w:eastAsia="pl-PL"/>
              </w:rPr>
              <w:t>metotreksatem</w:t>
            </w:r>
            <w:proofErr w:type="spellEnd"/>
            <w:r w:rsidRPr="00015CAA">
              <w:rPr>
                <w:rFonts w:ascii="Times New Roman" w:eastAsia="Times New Roman" w:hAnsi="Times New Roman" w:cs="Times New Roman"/>
                <w:sz w:val="20"/>
                <w:szCs w:val="20"/>
                <w:lang w:eastAsia="pl-PL"/>
              </w:rPr>
              <w:t xml:space="preserve"> (także w postaci do podania podskórnego) w maksymalnej zalecanej lub tolerowanej przez chorego dawce. W przypadku wystąpienia </w:t>
            </w:r>
            <w:proofErr w:type="spellStart"/>
            <w:r w:rsidRPr="00015CAA">
              <w:rPr>
                <w:rFonts w:ascii="Times New Roman" w:eastAsia="Times New Roman" w:hAnsi="Times New Roman" w:cs="Times New Roman"/>
                <w:sz w:val="20"/>
                <w:szCs w:val="20"/>
                <w:lang w:eastAsia="pl-PL"/>
              </w:rPr>
              <w:t>przeciwskazań</w:t>
            </w:r>
            <w:proofErr w:type="spellEnd"/>
            <w:r w:rsidRPr="00015CAA">
              <w:rPr>
                <w:rFonts w:ascii="Times New Roman" w:eastAsia="Times New Roman" w:hAnsi="Times New Roman" w:cs="Times New Roman"/>
                <w:sz w:val="20"/>
                <w:szCs w:val="20"/>
                <w:lang w:eastAsia="pl-PL"/>
              </w:rPr>
              <w:t xml:space="preserve"> do stosowania </w:t>
            </w:r>
            <w:proofErr w:type="spellStart"/>
            <w:r w:rsidRPr="00015CAA">
              <w:rPr>
                <w:rFonts w:ascii="Times New Roman" w:eastAsia="Times New Roman" w:hAnsi="Times New Roman" w:cs="Times New Roman"/>
                <w:sz w:val="20"/>
                <w:szCs w:val="20"/>
                <w:lang w:eastAsia="pl-PL"/>
              </w:rPr>
              <w:t>metotreksatu</w:t>
            </w:r>
            <w:proofErr w:type="spellEnd"/>
            <w:r w:rsidRPr="00015CAA">
              <w:rPr>
                <w:rFonts w:ascii="Times New Roman" w:eastAsia="Times New Roman" w:hAnsi="Times New Roman" w:cs="Times New Roman"/>
                <w:sz w:val="20"/>
                <w:szCs w:val="20"/>
                <w:lang w:eastAsia="pl-PL"/>
              </w:rPr>
              <w:t xml:space="preserve"> - </w:t>
            </w:r>
            <w:proofErr w:type="spellStart"/>
            <w:r w:rsidRPr="00015CAA">
              <w:rPr>
                <w:rFonts w:ascii="Times New Roman" w:eastAsia="Times New Roman" w:hAnsi="Times New Roman" w:cs="Times New Roman"/>
                <w:sz w:val="20"/>
                <w:szCs w:val="20"/>
                <w:lang w:eastAsia="pl-PL"/>
              </w:rPr>
              <w:t>adalimumab</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certolizumab</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etanercept</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golimumab</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tocilizumab</w:t>
            </w:r>
            <w:proofErr w:type="spellEnd"/>
            <w:r w:rsidRPr="00015CAA">
              <w:rPr>
                <w:rFonts w:ascii="Times New Roman" w:eastAsia="Times New Roman" w:hAnsi="Times New Roman" w:cs="Times New Roman"/>
                <w:sz w:val="20"/>
                <w:szCs w:val="20"/>
                <w:lang w:eastAsia="pl-PL"/>
              </w:rPr>
              <w:t xml:space="preserve"> należy podawać z </w:t>
            </w:r>
            <w:proofErr w:type="spellStart"/>
            <w:r w:rsidRPr="00015CAA">
              <w:rPr>
                <w:rFonts w:ascii="Times New Roman" w:eastAsia="Times New Roman" w:hAnsi="Times New Roman" w:cs="Times New Roman"/>
                <w:sz w:val="20"/>
                <w:szCs w:val="20"/>
                <w:lang w:eastAsia="pl-PL"/>
              </w:rPr>
              <w:t>sulfasalazyną</w:t>
            </w:r>
            <w:proofErr w:type="spellEnd"/>
            <w:r w:rsidRPr="00015CAA">
              <w:rPr>
                <w:rFonts w:ascii="Times New Roman" w:eastAsia="Times New Roman" w:hAnsi="Times New Roman" w:cs="Times New Roman"/>
                <w:sz w:val="20"/>
                <w:szCs w:val="20"/>
                <w:lang w:eastAsia="pl-PL"/>
              </w:rPr>
              <w:t xml:space="preserve"> lub </w:t>
            </w:r>
            <w:proofErr w:type="spellStart"/>
            <w:r w:rsidRPr="00015CAA">
              <w:rPr>
                <w:rFonts w:ascii="Times New Roman" w:eastAsia="Times New Roman" w:hAnsi="Times New Roman" w:cs="Times New Roman"/>
                <w:sz w:val="20"/>
                <w:szCs w:val="20"/>
                <w:lang w:eastAsia="pl-PL"/>
              </w:rPr>
              <w:t>leflunomidem</w:t>
            </w:r>
            <w:proofErr w:type="spellEnd"/>
            <w:r w:rsidRPr="00015CAA">
              <w:rPr>
                <w:rFonts w:ascii="Times New Roman" w:eastAsia="Times New Roman" w:hAnsi="Times New Roman" w:cs="Times New Roman"/>
                <w:sz w:val="20"/>
                <w:szCs w:val="20"/>
                <w:lang w:eastAsia="pl-PL"/>
              </w:rPr>
              <w:t xml:space="preserve"> w optymalnych dawkach. W wyjątkowych sytuacjach,</w:t>
            </w:r>
            <w:r w:rsidRPr="00015CAA">
              <w:rPr>
                <w:rFonts w:ascii="Calibri" w:eastAsia="Calibri" w:hAnsi="Calibri" w:cs="Times New Roman"/>
              </w:rPr>
              <w:t xml:space="preserve"> </w:t>
            </w:r>
            <w:proofErr w:type="spellStart"/>
            <w:r w:rsidRPr="00015CAA">
              <w:rPr>
                <w:rFonts w:ascii="Times New Roman" w:eastAsia="Times New Roman" w:hAnsi="Times New Roman" w:cs="Times New Roman"/>
                <w:sz w:val="20"/>
                <w:szCs w:val="20"/>
                <w:lang w:eastAsia="pl-PL"/>
              </w:rPr>
              <w:t>adalimumab</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certolizumab</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etanercept</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tocilizumab</w:t>
            </w:r>
            <w:proofErr w:type="spellEnd"/>
            <w:r w:rsidRPr="00015CAA">
              <w:rPr>
                <w:rFonts w:ascii="Times New Roman" w:eastAsia="Times New Roman" w:hAnsi="Times New Roman" w:cs="Times New Roman"/>
                <w:sz w:val="20"/>
                <w:szCs w:val="20"/>
                <w:lang w:eastAsia="pl-PL"/>
              </w:rPr>
              <w:t xml:space="preserve"> można stosować w </w:t>
            </w:r>
            <w:proofErr w:type="spellStart"/>
            <w:r w:rsidRPr="00015CAA">
              <w:rPr>
                <w:rFonts w:ascii="Times New Roman" w:eastAsia="Times New Roman" w:hAnsi="Times New Roman" w:cs="Times New Roman"/>
                <w:sz w:val="20"/>
                <w:szCs w:val="20"/>
                <w:lang w:eastAsia="pl-PL"/>
              </w:rPr>
              <w:t>monoterapii</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widowControl w:val="0"/>
              <w:numPr>
                <w:ilvl w:val="0"/>
                <w:numId w:val="16"/>
              </w:numPr>
              <w:autoSpaceDE w:val="0"/>
              <w:autoSpaceDN w:val="0"/>
              <w:adjustRightIn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 ramach programu dopuszcza się modyfikację wypadającego terminu podania substancji czynnej leku biologicznego o ± 3 dni.</w:t>
            </w:r>
          </w:p>
          <w:p w:rsidR="007A01C9" w:rsidRPr="00015CAA" w:rsidRDefault="007A01C9" w:rsidP="003D77A0">
            <w:pPr>
              <w:widowControl w:val="0"/>
              <w:numPr>
                <w:ilvl w:val="0"/>
                <w:numId w:val="16"/>
              </w:numPr>
              <w:autoSpaceDE w:val="0"/>
              <w:autoSpaceDN w:val="0"/>
              <w:adjustRightIn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U pacjenta, u którego występuje adekwatna odpowiedź </w:t>
            </w:r>
            <w:r w:rsidRPr="00015CAA">
              <w:rPr>
                <w:rFonts w:ascii="Times New Roman" w:eastAsia="Times New Roman" w:hAnsi="Times New Roman" w:cs="Times New Roman"/>
                <w:sz w:val="20"/>
                <w:szCs w:val="20"/>
                <w:lang w:eastAsia="pl-PL"/>
              </w:rPr>
              <w:lastRenderedPageBreak/>
              <w:t>na leczenie, terapię prowadzi się z użyciem substancji czynnej, która wywołała taką odpowiedź. Adekwatną odpowiedź na leczenie definiujemy jako:</w:t>
            </w:r>
          </w:p>
          <w:p w:rsidR="007A01C9" w:rsidRPr="00015CAA" w:rsidRDefault="007A01C9" w:rsidP="003D77A0">
            <w:pPr>
              <w:widowControl w:val="0"/>
              <w:numPr>
                <w:ilvl w:val="0"/>
                <w:numId w:val="44"/>
              </w:numPr>
              <w:autoSpaceDE w:val="0"/>
              <w:autoSpaceDN w:val="0"/>
              <w:adjustRightInd w:val="0"/>
              <w:spacing w:after="0"/>
              <w:ind w:left="714"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stwierdzenie umiarkowanej aktywności choroby po 3 miesiącach od pierwszego podania substancji czynnej – dotyczy terapii inhibitorem TNF alfa albo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w:t>
            </w:r>
          </w:p>
          <w:p w:rsidR="007A01C9" w:rsidRPr="00015CAA" w:rsidRDefault="007A01C9" w:rsidP="003D77A0">
            <w:pPr>
              <w:widowControl w:val="0"/>
              <w:numPr>
                <w:ilvl w:val="0"/>
                <w:numId w:val="44"/>
              </w:numPr>
              <w:autoSpaceDE w:val="0"/>
              <w:autoSpaceDN w:val="0"/>
              <w:adjustRightInd w:val="0"/>
              <w:spacing w:after="0"/>
              <w:ind w:left="714"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stwierdzenie wystąpienia remisji (lub niskiej aktywności choroby, gdy osiągnięcie remisji nie było możliwe) po 6 miesiącach od pierwszego podania substancji czynnej</w:t>
            </w:r>
          </w:p>
          <w:p w:rsidR="007A01C9" w:rsidRPr="00015CAA" w:rsidRDefault="007A01C9" w:rsidP="003D77A0">
            <w:pPr>
              <w:widowControl w:val="0"/>
              <w:numPr>
                <w:ilvl w:val="0"/>
                <w:numId w:val="44"/>
              </w:numPr>
              <w:autoSpaceDE w:val="0"/>
              <w:autoSpaceDN w:val="0"/>
              <w:adjustRightInd w:val="0"/>
              <w:spacing w:after="0"/>
              <w:ind w:left="714"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utrzymywanie się remisji (lub niskiej aktywności choroby, gdy osiągnięcie remisji w ciągu pierwszych 6 miesięcy terapii nie było możliwe) w trakcie kolejnych wizyt monitorujących.</w:t>
            </w:r>
          </w:p>
          <w:p w:rsidR="007A01C9" w:rsidRPr="00015CAA" w:rsidRDefault="007A01C9" w:rsidP="003D77A0">
            <w:pPr>
              <w:spacing w:after="0"/>
              <w:rPr>
                <w:rFonts w:ascii="Times New Roman" w:eastAsia="Times New Roman" w:hAnsi="Times New Roman" w:cs="Times New Roman"/>
                <w:sz w:val="20"/>
                <w:szCs w:val="20"/>
                <w:lang w:eastAsia="pl-PL"/>
              </w:rPr>
            </w:pPr>
          </w:p>
        </w:tc>
        <w:tc>
          <w:tcPr>
            <w:tcW w:w="1609" w:type="pct"/>
            <w:tcBorders>
              <w:top w:val="single" w:sz="4" w:space="0" w:color="auto"/>
              <w:bottom w:val="single" w:sz="4" w:space="0" w:color="auto"/>
              <w:right w:val="single" w:sz="4" w:space="0" w:color="auto"/>
            </w:tcBorders>
          </w:tcPr>
          <w:p w:rsidR="007A01C9" w:rsidRPr="00015CAA" w:rsidRDefault="007A01C9" w:rsidP="003D77A0">
            <w:pPr>
              <w:numPr>
                <w:ilvl w:val="0"/>
                <w:numId w:val="27"/>
              </w:numPr>
              <w:spacing w:after="0"/>
              <w:ind w:left="357" w:hanging="357"/>
              <w:rPr>
                <w:rFonts w:ascii="Times New Roman" w:eastAsia="Times New Roman" w:hAnsi="Times New Roman" w:cs="Times New Roman"/>
                <w:b/>
                <w:bCs/>
                <w:sz w:val="20"/>
                <w:szCs w:val="20"/>
                <w:lang w:eastAsia="pl-PL"/>
              </w:rPr>
            </w:pPr>
            <w:r w:rsidRPr="00015CAA">
              <w:rPr>
                <w:rFonts w:ascii="Times New Roman" w:eastAsia="Times New Roman" w:hAnsi="Times New Roman" w:cs="Times New Roman"/>
                <w:b/>
                <w:sz w:val="20"/>
                <w:szCs w:val="20"/>
                <w:lang w:eastAsia="pl-PL"/>
              </w:rPr>
              <w:lastRenderedPageBreak/>
              <w:t>Badania przy pierwszej kwalifikacji do programu</w:t>
            </w:r>
            <w:r w:rsidRPr="00015CAA">
              <w:rPr>
                <w:rFonts w:ascii="Times New Roman" w:eastAsia="Times New Roman" w:hAnsi="Times New Roman" w:cs="Times New Roman"/>
                <w:b/>
                <w:bCs/>
                <w:sz w:val="20"/>
                <w:szCs w:val="20"/>
                <w:lang w:eastAsia="pl-PL"/>
              </w:rPr>
              <w:t>:</w:t>
            </w:r>
          </w:p>
          <w:p w:rsidR="007A01C9" w:rsidRPr="00015CAA" w:rsidRDefault="007A01C9" w:rsidP="003D77A0">
            <w:pPr>
              <w:spacing w:after="0"/>
              <w:ind w:left="357"/>
              <w:rPr>
                <w:rFonts w:ascii="Times New Roman" w:eastAsia="Times New Roman" w:hAnsi="Times New Roman" w:cs="Times New Roman"/>
                <w:b/>
                <w:bCs/>
                <w:sz w:val="20"/>
                <w:szCs w:val="20"/>
                <w:lang w:eastAsia="pl-PL"/>
              </w:rPr>
            </w:pPr>
          </w:p>
          <w:p w:rsidR="007A01C9" w:rsidRPr="00015CAA" w:rsidRDefault="007A01C9" w:rsidP="003D77A0">
            <w:pPr>
              <w:numPr>
                <w:ilvl w:val="0"/>
                <w:numId w:val="33"/>
              </w:numPr>
              <w:suppressAutoHyphens/>
              <w:snapToGri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czynnik reumatoidalny w surowicy lub </w:t>
            </w:r>
            <w:proofErr w:type="spellStart"/>
            <w:r w:rsidRPr="00015CAA">
              <w:rPr>
                <w:rFonts w:ascii="Times New Roman" w:eastAsia="Times New Roman" w:hAnsi="Times New Roman" w:cs="Times New Roman"/>
                <w:sz w:val="20"/>
                <w:szCs w:val="20"/>
                <w:lang w:eastAsia="pl-PL"/>
              </w:rPr>
              <w:t>aCCP</w:t>
            </w:r>
            <w:proofErr w:type="spellEnd"/>
            <w:r w:rsidRPr="00015CAA">
              <w:rPr>
                <w:rFonts w:ascii="Times New Roman" w:eastAsia="Times New Roman" w:hAnsi="Times New Roman" w:cs="Times New Roman"/>
                <w:sz w:val="20"/>
                <w:szCs w:val="20"/>
                <w:lang w:eastAsia="pl-PL"/>
              </w:rPr>
              <w:t xml:space="preserve">  jeżeli RF jest nieobecny – kiedykolwiek w przeszłości;</w:t>
            </w:r>
          </w:p>
          <w:p w:rsidR="007A01C9" w:rsidRPr="00015CAA" w:rsidRDefault="007A01C9" w:rsidP="003D77A0">
            <w:pPr>
              <w:numPr>
                <w:ilvl w:val="0"/>
                <w:numId w:val="33"/>
              </w:numPr>
              <w:suppressAutoHyphens/>
              <w:snapToGri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próba tuberkulinowa lub test </w:t>
            </w:r>
            <w:proofErr w:type="spellStart"/>
            <w:r w:rsidRPr="00015CAA">
              <w:rPr>
                <w:rFonts w:ascii="Times New Roman" w:eastAsia="Times New Roman" w:hAnsi="Times New Roman" w:cs="Times New Roman"/>
                <w:sz w:val="20"/>
                <w:szCs w:val="20"/>
                <w:lang w:eastAsia="pl-PL"/>
              </w:rPr>
              <w:t>Quantiferon</w:t>
            </w:r>
            <w:proofErr w:type="spellEnd"/>
          </w:p>
          <w:p w:rsidR="007A01C9" w:rsidRPr="00015CAA" w:rsidRDefault="007A01C9" w:rsidP="003D77A0">
            <w:pPr>
              <w:numPr>
                <w:ilvl w:val="0"/>
                <w:numId w:val="33"/>
              </w:numPr>
              <w:suppressAutoHyphens/>
              <w:snapToGri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obecność antygenu HBS;</w:t>
            </w:r>
          </w:p>
          <w:p w:rsidR="007A01C9" w:rsidRPr="00015CAA" w:rsidRDefault="007A01C9" w:rsidP="003D77A0">
            <w:pPr>
              <w:numPr>
                <w:ilvl w:val="0"/>
                <w:numId w:val="33"/>
              </w:numPr>
              <w:suppressAutoHyphens/>
              <w:snapToGri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przeciwciała </w:t>
            </w:r>
            <w:proofErr w:type="spellStart"/>
            <w:r w:rsidRPr="00015CAA">
              <w:rPr>
                <w:rFonts w:ascii="Times New Roman" w:eastAsia="Times New Roman" w:hAnsi="Times New Roman" w:cs="Times New Roman"/>
                <w:sz w:val="20"/>
                <w:szCs w:val="20"/>
                <w:lang w:eastAsia="pl-PL"/>
              </w:rPr>
              <w:t>anty-HCV</w:t>
            </w:r>
            <w:proofErr w:type="spellEnd"/>
            <w:r w:rsidRPr="00015CAA">
              <w:rPr>
                <w:rFonts w:ascii="Times New Roman" w:eastAsia="Times New Roman" w:hAnsi="Times New Roman" w:cs="Times New Roman"/>
                <w:sz w:val="20"/>
                <w:szCs w:val="20"/>
                <w:lang w:eastAsia="pl-PL"/>
              </w:rPr>
              <w:t>, a w przypadku pozytywnego wyniku – oznaczenie PCR HCV metodą ilościową;</w:t>
            </w:r>
            <w:r w:rsidRPr="00015CAA">
              <w:rPr>
                <w:rFonts w:ascii="Times New Roman" w:eastAsia="Times New Roman" w:hAnsi="Times New Roman" w:cs="Times New Roman"/>
                <w:sz w:val="24"/>
                <w:szCs w:val="24"/>
                <w:lang w:eastAsia="pl-PL"/>
              </w:rPr>
              <w:t xml:space="preserve"> </w:t>
            </w:r>
          </w:p>
          <w:p w:rsidR="007A01C9" w:rsidRPr="00015CAA" w:rsidRDefault="007A01C9" w:rsidP="003D77A0">
            <w:pPr>
              <w:numPr>
                <w:ilvl w:val="0"/>
                <w:numId w:val="33"/>
              </w:numPr>
              <w:suppressAutoHyphens/>
              <w:snapToGrid w:val="0"/>
              <w:spacing w:after="0"/>
              <w:ind w:left="357" w:hanging="357"/>
              <w:rPr>
                <w:rFonts w:ascii="Times New Roman" w:eastAsia="Times New Roman" w:hAnsi="Times New Roman" w:cs="Times New Roman"/>
                <w:sz w:val="20"/>
                <w:szCs w:val="20"/>
                <w:lang w:val="en-US" w:eastAsia="pl-PL"/>
              </w:rPr>
            </w:pPr>
            <w:proofErr w:type="spellStart"/>
            <w:r w:rsidRPr="00015CAA">
              <w:rPr>
                <w:rFonts w:ascii="Times New Roman" w:eastAsia="Times New Roman" w:hAnsi="Times New Roman" w:cs="Times New Roman"/>
                <w:sz w:val="20"/>
                <w:szCs w:val="20"/>
                <w:lang w:val="en-US" w:eastAsia="pl-PL"/>
              </w:rPr>
              <w:t>antygen</w:t>
            </w:r>
            <w:proofErr w:type="spellEnd"/>
            <w:r w:rsidRPr="00015CAA">
              <w:rPr>
                <w:rFonts w:ascii="Times New Roman" w:eastAsia="Times New Roman" w:hAnsi="Times New Roman" w:cs="Times New Roman"/>
                <w:sz w:val="20"/>
                <w:szCs w:val="20"/>
                <w:lang w:val="en-US" w:eastAsia="pl-PL"/>
              </w:rPr>
              <w:t xml:space="preserve"> </w:t>
            </w:r>
            <w:proofErr w:type="spellStart"/>
            <w:r w:rsidRPr="00015CAA">
              <w:rPr>
                <w:rFonts w:ascii="Times New Roman" w:eastAsia="Times New Roman" w:hAnsi="Times New Roman" w:cs="Times New Roman"/>
                <w:sz w:val="20"/>
                <w:szCs w:val="20"/>
                <w:lang w:val="en-US" w:eastAsia="pl-PL"/>
              </w:rPr>
              <w:t>wirusa</w:t>
            </w:r>
            <w:proofErr w:type="spellEnd"/>
            <w:r w:rsidRPr="00015CAA">
              <w:rPr>
                <w:rFonts w:ascii="Times New Roman" w:eastAsia="Times New Roman" w:hAnsi="Times New Roman" w:cs="Times New Roman"/>
                <w:sz w:val="20"/>
                <w:szCs w:val="20"/>
                <w:lang w:val="en-US" w:eastAsia="pl-PL"/>
              </w:rPr>
              <w:t xml:space="preserve"> HIV (HIV Ag/</w:t>
            </w:r>
            <w:proofErr w:type="spellStart"/>
            <w:r w:rsidRPr="00015CAA">
              <w:rPr>
                <w:rFonts w:ascii="Times New Roman" w:eastAsia="Times New Roman" w:hAnsi="Times New Roman" w:cs="Times New Roman"/>
                <w:sz w:val="20"/>
                <w:szCs w:val="20"/>
                <w:lang w:val="en-US" w:eastAsia="pl-PL"/>
              </w:rPr>
              <w:t>Ab</w:t>
            </w:r>
            <w:proofErr w:type="spellEnd"/>
            <w:r w:rsidRPr="00015CAA">
              <w:rPr>
                <w:rFonts w:ascii="Times New Roman" w:eastAsia="Times New Roman" w:hAnsi="Times New Roman" w:cs="Times New Roman"/>
                <w:sz w:val="20"/>
                <w:szCs w:val="20"/>
                <w:lang w:val="en-US" w:eastAsia="pl-PL"/>
              </w:rPr>
              <w:t xml:space="preserve"> Combo)</w:t>
            </w:r>
          </w:p>
          <w:p w:rsidR="007A01C9" w:rsidRPr="00015CAA" w:rsidRDefault="007A01C9" w:rsidP="003D77A0">
            <w:pPr>
              <w:numPr>
                <w:ilvl w:val="0"/>
                <w:numId w:val="33"/>
              </w:numPr>
              <w:suppressAutoHyphens/>
              <w:snapToGri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RTG klatki piersiowej z opisem (maksymalnie do 3 miesięcy przed kwalifikacją);</w:t>
            </w:r>
          </w:p>
          <w:p w:rsidR="007A01C9" w:rsidRPr="00015CAA" w:rsidRDefault="007A01C9" w:rsidP="003D77A0">
            <w:pPr>
              <w:numPr>
                <w:ilvl w:val="0"/>
                <w:numId w:val="33"/>
              </w:numPr>
              <w:suppressAutoHyphens/>
              <w:snapToGri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val="en-US" w:eastAsia="pl-PL"/>
              </w:rPr>
              <w:t xml:space="preserve">EKG z </w:t>
            </w:r>
            <w:proofErr w:type="spellStart"/>
            <w:r w:rsidRPr="00015CAA">
              <w:rPr>
                <w:rFonts w:ascii="Times New Roman" w:eastAsia="Times New Roman" w:hAnsi="Times New Roman" w:cs="Times New Roman"/>
                <w:sz w:val="20"/>
                <w:szCs w:val="20"/>
                <w:lang w:val="en-US" w:eastAsia="pl-PL"/>
              </w:rPr>
              <w:t>opisem</w:t>
            </w:r>
            <w:proofErr w:type="spellEnd"/>
            <w:r w:rsidRPr="00015CAA">
              <w:rPr>
                <w:rFonts w:ascii="Times New Roman" w:eastAsia="Times New Roman" w:hAnsi="Times New Roman" w:cs="Times New Roman"/>
                <w:sz w:val="20"/>
                <w:szCs w:val="20"/>
                <w:lang w:val="en-US" w:eastAsia="pl-PL"/>
              </w:rPr>
              <w:t>;</w:t>
            </w:r>
          </w:p>
          <w:p w:rsidR="007A01C9" w:rsidRPr="00015CAA" w:rsidRDefault="007A01C9" w:rsidP="003D77A0">
            <w:pPr>
              <w:numPr>
                <w:ilvl w:val="0"/>
                <w:numId w:val="33"/>
              </w:numPr>
              <w:suppressAutoHyphens/>
              <w:snapToGri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u kobiet: badanie ginekologiczne, mammograficzne lub USG piersi.</w:t>
            </w:r>
          </w:p>
          <w:p w:rsidR="007A01C9" w:rsidRPr="00015CAA" w:rsidRDefault="007A01C9" w:rsidP="003D77A0">
            <w:pPr>
              <w:suppressAutoHyphens/>
              <w:snapToGrid w:val="0"/>
              <w:spacing w:after="0"/>
              <w:ind w:left="755"/>
              <w:rPr>
                <w:rFonts w:ascii="Times New Roman" w:eastAsia="Times New Roman" w:hAnsi="Times New Roman" w:cs="Times New Roman"/>
                <w:sz w:val="20"/>
                <w:szCs w:val="20"/>
                <w:lang w:eastAsia="pl-PL"/>
              </w:rPr>
            </w:pPr>
          </w:p>
          <w:p w:rsidR="007A01C9" w:rsidRPr="00015CAA" w:rsidRDefault="007A01C9" w:rsidP="003D77A0">
            <w:pPr>
              <w:numPr>
                <w:ilvl w:val="0"/>
                <w:numId w:val="27"/>
              </w:numPr>
              <w:suppressAutoHyphens/>
              <w:snapToGri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b/>
                <w:sz w:val="20"/>
                <w:szCs w:val="20"/>
                <w:lang w:eastAsia="pl-PL"/>
              </w:rPr>
              <w:t>Badania przy pierwszej, albo kolejnych kwalifikacjach do programu, jeżeli badanie było wykonane wcześniej niż 1 miesiąc przed kwalifikacją:</w:t>
            </w:r>
          </w:p>
          <w:p w:rsidR="007A01C9" w:rsidRPr="00015CAA" w:rsidRDefault="007A01C9" w:rsidP="003D77A0">
            <w:pPr>
              <w:suppressAutoHyphens/>
              <w:snapToGrid w:val="0"/>
              <w:spacing w:after="0"/>
              <w:ind w:left="357"/>
              <w:rPr>
                <w:rFonts w:ascii="Times New Roman" w:eastAsia="Times New Roman" w:hAnsi="Times New Roman" w:cs="Times New Roman"/>
                <w:sz w:val="20"/>
                <w:szCs w:val="20"/>
                <w:lang w:eastAsia="pl-PL"/>
              </w:rPr>
            </w:pPr>
          </w:p>
          <w:p w:rsidR="007A01C9" w:rsidRPr="00015CAA" w:rsidRDefault="007A01C9" w:rsidP="003D77A0">
            <w:pPr>
              <w:numPr>
                <w:ilvl w:val="0"/>
                <w:numId w:val="34"/>
              </w:numPr>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morfologia krwi z rozmazem, a w przypadku kwalifikowania do terapii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morfologia krwi z rozmazem oraz oznaczeniem </w:t>
            </w:r>
            <w:r w:rsidRPr="00015CAA">
              <w:rPr>
                <w:rFonts w:ascii="Times New Roman" w:eastAsia="Times New Roman" w:hAnsi="Times New Roman" w:cs="Times New Roman"/>
                <w:sz w:val="20"/>
                <w:szCs w:val="20"/>
                <w:lang w:eastAsia="pl-PL"/>
              </w:rPr>
              <w:lastRenderedPageBreak/>
              <w:t>bezwzględnej liczby granulocytów obojętnochłonnych;</w:t>
            </w:r>
          </w:p>
          <w:p w:rsidR="007A01C9" w:rsidRPr="00015CAA" w:rsidRDefault="007A01C9" w:rsidP="003D77A0">
            <w:pPr>
              <w:numPr>
                <w:ilvl w:val="0"/>
                <w:numId w:val="34"/>
              </w:numPr>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płytki krwi (PLT);</w:t>
            </w:r>
          </w:p>
          <w:p w:rsidR="007A01C9" w:rsidRPr="00015CAA" w:rsidRDefault="007A01C9" w:rsidP="003D77A0">
            <w:pPr>
              <w:numPr>
                <w:ilvl w:val="0"/>
                <w:numId w:val="34"/>
              </w:numPr>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odczyn Biernackiego (OB);</w:t>
            </w:r>
          </w:p>
          <w:p w:rsidR="007A01C9" w:rsidRPr="00015CAA" w:rsidRDefault="007A01C9" w:rsidP="003D77A0">
            <w:pPr>
              <w:numPr>
                <w:ilvl w:val="0"/>
                <w:numId w:val="34"/>
              </w:numPr>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aminotransferaza </w:t>
            </w:r>
            <w:proofErr w:type="spellStart"/>
            <w:r w:rsidRPr="00015CAA">
              <w:rPr>
                <w:rFonts w:ascii="Times New Roman" w:eastAsia="Times New Roman" w:hAnsi="Times New Roman" w:cs="Times New Roman"/>
                <w:sz w:val="20"/>
                <w:szCs w:val="20"/>
                <w:lang w:eastAsia="pl-PL"/>
              </w:rPr>
              <w:t>asparaginianowa</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AspAT</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34"/>
              </w:numPr>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aminotransferaza alaninowa (</w:t>
            </w:r>
            <w:proofErr w:type="spellStart"/>
            <w:r w:rsidRPr="00015CAA">
              <w:rPr>
                <w:rFonts w:ascii="Times New Roman" w:eastAsia="Times New Roman" w:hAnsi="Times New Roman" w:cs="Times New Roman"/>
                <w:sz w:val="20"/>
                <w:szCs w:val="20"/>
                <w:lang w:eastAsia="pl-PL"/>
              </w:rPr>
              <w:t>AlAT</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34"/>
              </w:numPr>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kreatynina w surowicy;</w:t>
            </w:r>
          </w:p>
          <w:p w:rsidR="007A01C9" w:rsidRPr="00015CAA" w:rsidRDefault="007A01C9" w:rsidP="003D77A0">
            <w:pPr>
              <w:numPr>
                <w:ilvl w:val="0"/>
                <w:numId w:val="34"/>
              </w:numPr>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białko C-reaktywne (CRP);</w:t>
            </w:r>
          </w:p>
          <w:p w:rsidR="007A01C9" w:rsidRPr="00015CAA" w:rsidRDefault="007A01C9" w:rsidP="003D77A0">
            <w:pPr>
              <w:numPr>
                <w:ilvl w:val="0"/>
                <w:numId w:val="34"/>
              </w:numPr>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badanie ogólne moczu;</w:t>
            </w:r>
          </w:p>
          <w:p w:rsidR="007A01C9" w:rsidRPr="00015CAA" w:rsidRDefault="007A01C9" w:rsidP="003D77A0">
            <w:pPr>
              <w:numPr>
                <w:ilvl w:val="0"/>
                <w:numId w:val="34"/>
              </w:numPr>
              <w:tabs>
                <w:tab w:val="left" w:pos="-11164"/>
              </w:tabs>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stężenie immunoglobulin w surowicy - u pacjentów kwalifikowanych do leczenia </w:t>
            </w:r>
            <w:proofErr w:type="spellStart"/>
            <w:r w:rsidRPr="00015CAA">
              <w:rPr>
                <w:rFonts w:ascii="Times New Roman" w:eastAsia="Times New Roman" w:hAnsi="Times New Roman" w:cs="Times New Roman"/>
                <w:sz w:val="20"/>
                <w:szCs w:val="20"/>
                <w:lang w:eastAsia="pl-PL"/>
              </w:rPr>
              <w:t>rytuksymabem</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34"/>
              </w:numPr>
              <w:tabs>
                <w:tab w:val="left" w:pos="-11164"/>
              </w:tabs>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dwukrotne obliczenie wartości wskaźnika DAS 28 lub DAS, lub SDAI w odstępie 1 miesiąca; ostatnie oznaczenie nie wcześniej niż dwa tygodnie przed podaniem pierwszej dawki leku.</w:t>
            </w:r>
          </w:p>
          <w:p w:rsidR="007A01C9" w:rsidRPr="00015CAA" w:rsidRDefault="007A01C9" w:rsidP="003D77A0">
            <w:pPr>
              <w:numPr>
                <w:ilvl w:val="0"/>
                <w:numId w:val="34"/>
              </w:numPr>
              <w:tabs>
                <w:tab w:val="left" w:pos="-11164"/>
              </w:tabs>
              <w:suppressAutoHyphen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stężenie cholesterolu całkowitego, LDL, HDL, </w:t>
            </w:r>
            <w:proofErr w:type="spellStart"/>
            <w:r w:rsidRPr="00015CAA">
              <w:rPr>
                <w:rFonts w:ascii="Times New Roman" w:eastAsia="Times New Roman" w:hAnsi="Times New Roman" w:cs="Times New Roman"/>
                <w:sz w:val="20"/>
                <w:szCs w:val="20"/>
                <w:lang w:eastAsia="pl-PL"/>
              </w:rPr>
              <w:t>trójglicerydów</w:t>
            </w:r>
            <w:proofErr w:type="spellEnd"/>
            <w:r w:rsidRPr="00015CAA">
              <w:rPr>
                <w:rFonts w:ascii="Times New Roman" w:eastAsia="Times New Roman" w:hAnsi="Times New Roman" w:cs="Times New Roman"/>
                <w:sz w:val="20"/>
                <w:szCs w:val="20"/>
                <w:lang w:eastAsia="pl-PL"/>
              </w:rPr>
              <w:t xml:space="preserve"> - u pacjentów kwalifikowanych do leczenia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tabs>
                <w:tab w:val="left" w:pos="-11164"/>
              </w:tabs>
              <w:suppressAutoHyphens/>
              <w:spacing w:after="0"/>
              <w:ind w:left="360"/>
              <w:rPr>
                <w:rFonts w:ascii="Times New Roman" w:eastAsia="Times New Roman" w:hAnsi="Times New Roman" w:cs="Times New Roman"/>
                <w:sz w:val="20"/>
                <w:szCs w:val="20"/>
                <w:lang w:eastAsia="pl-PL"/>
              </w:rPr>
            </w:pPr>
          </w:p>
          <w:p w:rsidR="007A01C9" w:rsidRPr="00015CAA" w:rsidRDefault="007A01C9" w:rsidP="003D77A0">
            <w:pPr>
              <w:numPr>
                <w:ilvl w:val="0"/>
                <w:numId w:val="27"/>
              </w:numPr>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Monitorowanie leczenia:</w:t>
            </w:r>
          </w:p>
          <w:p w:rsidR="007A01C9" w:rsidRPr="00015CAA" w:rsidRDefault="007A01C9" w:rsidP="003D77A0">
            <w:pPr>
              <w:spacing w:after="0"/>
              <w:rPr>
                <w:rFonts w:ascii="Times New Roman" w:eastAsia="Times New Roman" w:hAnsi="Times New Roman" w:cs="Times New Roman"/>
                <w:b/>
                <w:sz w:val="20"/>
                <w:szCs w:val="20"/>
                <w:lang w:eastAsia="pl-PL"/>
              </w:rPr>
            </w:pPr>
          </w:p>
          <w:p w:rsidR="007A01C9" w:rsidRPr="00015CAA" w:rsidRDefault="007A01C9" w:rsidP="003D77A0">
            <w:pPr>
              <w:numPr>
                <w:ilvl w:val="0"/>
                <w:numId w:val="28"/>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Monitorowanie terapii inhibitorem TNF alfa - po 90 dniach  (± 14 dni) i 180 dniach (±14dni) od pierwszego  podania substancji czynnej należy wykonać:</w:t>
            </w:r>
          </w:p>
          <w:p w:rsidR="007A01C9" w:rsidRPr="00015CAA" w:rsidRDefault="007A01C9" w:rsidP="003D77A0">
            <w:pPr>
              <w:numPr>
                <w:ilvl w:val="0"/>
                <w:numId w:val="29"/>
              </w:numPr>
              <w:suppressAutoHyphens/>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morfologię krwi, </w:t>
            </w:r>
          </w:p>
          <w:p w:rsidR="007A01C9" w:rsidRPr="00015CAA" w:rsidRDefault="007A01C9" w:rsidP="003D77A0">
            <w:pPr>
              <w:numPr>
                <w:ilvl w:val="0"/>
                <w:numId w:val="29"/>
              </w:numPr>
              <w:suppressAutoHyphens/>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odczyn Biernackiego (OB),</w:t>
            </w:r>
          </w:p>
          <w:p w:rsidR="007A01C9" w:rsidRPr="00015CAA" w:rsidRDefault="007A01C9" w:rsidP="003D77A0">
            <w:pPr>
              <w:numPr>
                <w:ilvl w:val="0"/>
                <w:numId w:val="29"/>
              </w:numPr>
              <w:suppressAutoHyphens/>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stężenie białka C-reaktywnego (CRP),</w:t>
            </w:r>
          </w:p>
          <w:p w:rsidR="007A01C9" w:rsidRPr="00015CAA" w:rsidRDefault="007A01C9" w:rsidP="003D77A0">
            <w:pPr>
              <w:numPr>
                <w:ilvl w:val="0"/>
                <w:numId w:val="29"/>
              </w:numPr>
              <w:suppressAutoHyphens/>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stężenie kreatyniny w surowicy  </w:t>
            </w:r>
          </w:p>
          <w:p w:rsidR="007A01C9" w:rsidRPr="00015CAA" w:rsidRDefault="007A01C9" w:rsidP="003D77A0">
            <w:pPr>
              <w:numPr>
                <w:ilvl w:val="0"/>
                <w:numId w:val="29"/>
              </w:numPr>
              <w:suppressAutoHyphens/>
              <w:spacing w:after="0"/>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AspAT</w:t>
            </w:r>
            <w:proofErr w:type="spellEnd"/>
            <w:r w:rsidRPr="00015CAA">
              <w:rPr>
                <w:rFonts w:ascii="Times New Roman" w:eastAsia="Times New Roman" w:hAnsi="Times New Roman" w:cs="Times New Roman"/>
                <w:sz w:val="20"/>
                <w:szCs w:val="20"/>
                <w:lang w:eastAsia="pl-PL"/>
              </w:rPr>
              <w:t xml:space="preserve"> i </w:t>
            </w:r>
            <w:proofErr w:type="spellStart"/>
            <w:r w:rsidRPr="00015CAA">
              <w:rPr>
                <w:rFonts w:ascii="Times New Roman" w:eastAsia="Times New Roman" w:hAnsi="Times New Roman" w:cs="Times New Roman"/>
                <w:sz w:val="20"/>
                <w:szCs w:val="20"/>
                <w:lang w:eastAsia="pl-PL"/>
              </w:rPr>
              <w:t>AlAT</w:t>
            </w:r>
            <w:proofErr w:type="spellEnd"/>
          </w:p>
          <w:p w:rsidR="007A01C9" w:rsidRPr="00015CAA" w:rsidRDefault="007A01C9" w:rsidP="003D77A0">
            <w:pPr>
              <w:spacing w:after="0"/>
              <w:ind w:left="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oraz obliczyć wartość wskaźnika DAS 28 lub DAS lub SDAI, a także dokonać oceny skuteczności zastosowanej terapii. </w:t>
            </w:r>
          </w:p>
          <w:p w:rsidR="007A01C9" w:rsidRPr="00015CAA" w:rsidRDefault="007A01C9" w:rsidP="003D77A0">
            <w:pPr>
              <w:spacing w:after="0"/>
              <w:ind w:left="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lastRenderedPageBreak/>
              <w:t>Jeżeli terapia jest kontynuowana powyższe powtarzać po każdych kolejnych 180 dniach (± 14 dni).</w:t>
            </w:r>
          </w:p>
          <w:p w:rsidR="007A01C9" w:rsidRPr="00015CAA" w:rsidRDefault="007A01C9" w:rsidP="003D77A0">
            <w:pPr>
              <w:spacing w:after="0"/>
              <w:ind w:left="357"/>
              <w:rPr>
                <w:rFonts w:ascii="Times New Roman" w:eastAsia="Times New Roman" w:hAnsi="Times New Roman" w:cs="Times New Roman"/>
                <w:sz w:val="20"/>
                <w:szCs w:val="20"/>
                <w:lang w:eastAsia="pl-PL"/>
              </w:rPr>
            </w:pPr>
          </w:p>
          <w:p w:rsidR="007A01C9" w:rsidRPr="00015CAA" w:rsidRDefault="007A01C9" w:rsidP="003D77A0">
            <w:pPr>
              <w:numPr>
                <w:ilvl w:val="0"/>
                <w:numId w:val="28"/>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Monitorowanie terapii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47"/>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po 90 dniach  (± 14 dni) i 180 dniach (±14dni) od pierwszego  podania substancji czynnej należy wykonać:</w:t>
            </w:r>
          </w:p>
          <w:p w:rsidR="007A01C9" w:rsidRPr="00015CAA" w:rsidRDefault="007A01C9" w:rsidP="003D77A0">
            <w:pPr>
              <w:numPr>
                <w:ilvl w:val="0"/>
                <w:numId w:val="48"/>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odczyn Biernackiego (OB),</w:t>
            </w:r>
          </w:p>
          <w:p w:rsidR="007A01C9" w:rsidRPr="00015CAA" w:rsidRDefault="007A01C9" w:rsidP="003D77A0">
            <w:pPr>
              <w:numPr>
                <w:ilvl w:val="0"/>
                <w:numId w:val="48"/>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stężenie białka C-reaktywnego (CRP),</w:t>
            </w:r>
          </w:p>
          <w:p w:rsidR="007A01C9" w:rsidRPr="00015CAA" w:rsidRDefault="007A01C9" w:rsidP="003D77A0">
            <w:pPr>
              <w:numPr>
                <w:ilvl w:val="0"/>
                <w:numId w:val="48"/>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wartość wskaźnika DAS 28 lub DAS, lub SDAI;</w:t>
            </w:r>
          </w:p>
          <w:p w:rsidR="007A01C9" w:rsidRPr="00015CAA" w:rsidRDefault="007A01C9" w:rsidP="003D77A0">
            <w:pPr>
              <w:numPr>
                <w:ilvl w:val="0"/>
                <w:numId w:val="47"/>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po 60 dniach (± 14 dni), 120 dniach (± 14 dni) i 180 dniach (± 14 dni) od pierwszego  podania substancji czynnej należy oznaczyć:</w:t>
            </w:r>
          </w:p>
          <w:p w:rsidR="007A01C9" w:rsidRPr="00015CAA" w:rsidRDefault="007A01C9" w:rsidP="003D77A0">
            <w:pPr>
              <w:numPr>
                <w:ilvl w:val="0"/>
                <w:numId w:val="4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aktywność </w:t>
            </w:r>
            <w:proofErr w:type="spellStart"/>
            <w:r w:rsidRPr="00015CAA">
              <w:rPr>
                <w:rFonts w:ascii="Times New Roman" w:eastAsia="Times New Roman" w:hAnsi="Times New Roman" w:cs="Times New Roman"/>
                <w:sz w:val="20"/>
                <w:szCs w:val="20"/>
                <w:lang w:eastAsia="pl-PL"/>
              </w:rPr>
              <w:t>AspAT</w:t>
            </w:r>
            <w:proofErr w:type="spellEnd"/>
            <w:r w:rsidRPr="00015CAA">
              <w:rPr>
                <w:rFonts w:ascii="Times New Roman" w:eastAsia="Times New Roman" w:hAnsi="Times New Roman" w:cs="Times New Roman"/>
                <w:sz w:val="20"/>
                <w:szCs w:val="20"/>
                <w:lang w:eastAsia="pl-PL"/>
              </w:rPr>
              <w:t xml:space="preserve"> i </w:t>
            </w:r>
            <w:proofErr w:type="spellStart"/>
            <w:r w:rsidRPr="00015CAA">
              <w:rPr>
                <w:rFonts w:ascii="Times New Roman" w:eastAsia="Times New Roman" w:hAnsi="Times New Roman" w:cs="Times New Roman"/>
                <w:sz w:val="20"/>
                <w:szCs w:val="20"/>
                <w:lang w:eastAsia="pl-PL"/>
              </w:rPr>
              <w:t>AlAT</w:t>
            </w:r>
            <w:proofErr w:type="spellEnd"/>
          </w:p>
          <w:p w:rsidR="007A01C9" w:rsidRPr="00015CAA" w:rsidRDefault="007A01C9" w:rsidP="003D77A0">
            <w:pPr>
              <w:numPr>
                <w:ilvl w:val="0"/>
                <w:numId w:val="4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profil lipidów: stężenie cholesterolu całkowitego, LDL, HDL, </w:t>
            </w:r>
            <w:proofErr w:type="spellStart"/>
            <w:r w:rsidRPr="00015CAA">
              <w:rPr>
                <w:rFonts w:ascii="Times New Roman" w:eastAsia="Times New Roman" w:hAnsi="Times New Roman" w:cs="Times New Roman"/>
                <w:sz w:val="20"/>
                <w:szCs w:val="20"/>
                <w:lang w:eastAsia="pl-PL"/>
              </w:rPr>
              <w:t>trójglicerydów</w:t>
            </w:r>
            <w:proofErr w:type="spellEnd"/>
          </w:p>
          <w:p w:rsidR="007A01C9" w:rsidRPr="00015CAA" w:rsidRDefault="007A01C9" w:rsidP="003D77A0">
            <w:pPr>
              <w:numPr>
                <w:ilvl w:val="0"/>
                <w:numId w:val="4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morfologię krwi z rozmazem</w:t>
            </w:r>
          </w:p>
          <w:p w:rsidR="007A01C9" w:rsidRPr="00015CAA" w:rsidRDefault="007A01C9" w:rsidP="003D77A0">
            <w:pPr>
              <w:numPr>
                <w:ilvl w:val="0"/>
                <w:numId w:val="4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płytki krwi (PLT);</w:t>
            </w:r>
          </w:p>
          <w:p w:rsidR="007A01C9" w:rsidRPr="00015CAA" w:rsidRDefault="007A01C9" w:rsidP="003D77A0">
            <w:pPr>
              <w:numPr>
                <w:ilvl w:val="0"/>
                <w:numId w:val="49"/>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stężenie kreatyniny w surowicy,</w:t>
            </w:r>
          </w:p>
          <w:p w:rsidR="007A01C9" w:rsidRPr="00015CAA" w:rsidRDefault="007A01C9" w:rsidP="003D77A0">
            <w:pPr>
              <w:spacing w:after="0"/>
              <w:ind w:left="34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 przypadku kontynuowania terapii, badanie aktywności </w:t>
            </w:r>
            <w:proofErr w:type="spellStart"/>
            <w:r w:rsidRPr="00015CAA">
              <w:rPr>
                <w:rFonts w:ascii="Times New Roman" w:eastAsia="Times New Roman" w:hAnsi="Times New Roman" w:cs="Times New Roman"/>
                <w:sz w:val="20"/>
                <w:szCs w:val="20"/>
                <w:lang w:eastAsia="pl-PL"/>
              </w:rPr>
              <w:t>AspAT</w:t>
            </w:r>
            <w:proofErr w:type="spellEnd"/>
            <w:r w:rsidRPr="00015CAA">
              <w:rPr>
                <w:rFonts w:ascii="Times New Roman" w:eastAsia="Times New Roman" w:hAnsi="Times New Roman" w:cs="Times New Roman"/>
                <w:sz w:val="20"/>
                <w:szCs w:val="20"/>
                <w:lang w:eastAsia="pl-PL"/>
              </w:rPr>
              <w:t xml:space="preserve"> i </w:t>
            </w:r>
            <w:proofErr w:type="spellStart"/>
            <w:r w:rsidRPr="00015CAA">
              <w:rPr>
                <w:rFonts w:ascii="Times New Roman" w:eastAsia="Times New Roman" w:hAnsi="Times New Roman" w:cs="Times New Roman"/>
                <w:sz w:val="20"/>
                <w:szCs w:val="20"/>
                <w:lang w:eastAsia="pl-PL"/>
              </w:rPr>
              <w:t>AlAT</w:t>
            </w:r>
            <w:proofErr w:type="spellEnd"/>
            <w:r w:rsidRPr="00015CAA">
              <w:rPr>
                <w:rFonts w:ascii="Times New Roman" w:eastAsia="Times New Roman" w:hAnsi="Times New Roman" w:cs="Times New Roman"/>
                <w:sz w:val="20"/>
                <w:szCs w:val="20"/>
                <w:lang w:eastAsia="pl-PL"/>
              </w:rPr>
              <w:t xml:space="preserve"> powtarzać po każdych kolejnych 90 dniach (± 14 dni). Pozostałe, wymienione w </w:t>
            </w:r>
            <w:proofErr w:type="spellStart"/>
            <w:r w:rsidRPr="00015CAA">
              <w:rPr>
                <w:rFonts w:ascii="Times New Roman" w:eastAsia="Times New Roman" w:hAnsi="Times New Roman" w:cs="Times New Roman"/>
                <w:sz w:val="20"/>
                <w:szCs w:val="20"/>
                <w:lang w:eastAsia="pl-PL"/>
              </w:rPr>
              <w:t>pkt</w:t>
            </w:r>
            <w:proofErr w:type="spellEnd"/>
            <w:r w:rsidRPr="00015CAA">
              <w:rPr>
                <w:rFonts w:ascii="Times New Roman" w:eastAsia="Times New Roman" w:hAnsi="Times New Roman" w:cs="Times New Roman"/>
                <w:sz w:val="20"/>
                <w:szCs w:val="20"/>
                <w:lang w:eastAsia="pl-PL"/>
              </w:rPr>
              <w:t xml:space="preserve"> 2a) i 2b),  badania powtarzać po każdych kolejnych 180 dniach (± 14 dni).</w:t>
            </w:r>
          </w:p>
          <w:p w:rsidR="007A01C9" w:rsidRPr="00015CAA" w:rsidRDefault="007A01C9" w:rsidP="003D77A0">
            <w:pPr>
              <w:spacing w:after="0"/>
              <w:ind w:left="340"/>
              <w:rPr>
                <w:rFonts w:ascii="Times New Roman" w:eastAsia="Times New Roman" w:hAnsi="Times New Roman" w:cs="Times New Roman"/>
                <w:sz w:val="20"/>
                <w:szCs w:val="20"/>
                <w:lang w:eastAsia="pl-PL"/>
              </w:rPr>
            </w:pPr>
          </w:p>
          <w:p w:rsidR="007A01C9" w:rsidRPr="00015CAA" w:rsidRDefault="007A01C9" w:rsidP="003D77A0">
            <w:pPr>
              <w:numPr>
                <w:ilvl w:val="0"/>
                <w:numId w:val="28"/>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Monitorowanie terapii </w:t>
            </w:r>
            <w:proofErr w:type="spellStart"/>
            <w:r w:rsidRPr="00015CAA">
              <w:rPr>
                <w:rFonts w:ascii="Times New Roman" w:eastAsia="Times New Roman" w:hAnsi="Times New Roman" w:cs="Times New Roman"/>
                <w:sz w:val="20"/>
                <w:szCs w:val="20"/>
                <w:lang w:eastAsia="pl-PL"/>
              </w:rPr>
              <w:t>rytuksymabem</w:t>
            </w:r>
            <w:proofErr w:type="spellEnd"/>
            <w:r w:rsidRPr="00015CAA">
              <w:rPr>
                <w:rFonts w:ascii="Times New Roman" w:eastAsia="Times New Roman" w:hAnsi="Times New Roman" w:cs="Times New Roman"/>
                <w:sz w:val="20"/>
                <w:szCs w:val="20"/>
                <w:lang w:eastAsia="pl-PL"/>
              </w:rPr>
              <w:t xml:space="preserve"> - po 180 dniach (± 14 dni) od pierwszego podania substancji czynnej leku biologicznego należy wykonać </w:t>
            </w:r>
          </w:p>
          <w:p w:rsidR="007A01C9" w:rsidRPr="00015CAA" w:rsidRDefault="007A01C9" w:rsidP="003D77A0">
            <w:pPr>
              <w:numPr>
                <w:ilvl w:val="0"/>
                <w:numId w:val="30"/>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morfologię krwi, </w:t>
            </w:r>
          </w:p>
          <w:p w:rsidR="007A01C9" w:rsidRPr="00015CAA" w:rsidRDefault="007A01C9" w:rsidP="003D77A0">
            <w:pPr>
              <w:numPr>
                <w:ilvl w:val="0"/>
                <w:numId w:val="30"/>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odczyn Biernackiego (OB),</w:t>
            </w:r>
          </w:p>
          <w:p w:rsidR="007A01C9" w:rsidRPr="00015CAA" w:rsidRDefault="007A01C9" w:rsidP="003D77A0">
            <w:pPr>
              <w:numPr>
                <w:ilvl w:val="0"/>
                <w:numId w:val="30"/>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stężenie białka C-reaktywnego (CRP),</w:t>
            </w:r>
          </w:p>
          <w:p w:rsidR="007A01C9" w:rsidRPr="00015CAA" w:rsidRDefault="007A01C9" w:rsidP="003D77A0">
            <w:pPr>
              <w:numPr>
                <w:ilvl w:val="0"/>
                <w:numId w:val="30"/>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stężenie kreatyniny w surowicy  </w:t>
            </w:r>
          </w:p>
          <w:p w:rsidR="007A01C9" w:rsidRPr="00015CAA" w:rsidRDefault="007A01C9" w:rsidP="003D77A0">
            <w:pPr>
              <w:numPr>
                <w:ilvl w:val="0"/>
                <w:numId w:val="30"/>
              </w:numPr>
              <w:spacing w:after="0"/>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AspAT</w:t>
            </w:r>
            <w:proofErr w:type="spellEnd"/>
            <w:r w:rsidRPr="00015CAA">
              <w:rPr>
                <w:rFonts w:ascii="Times New Roman" w:eastAsia="Times New Roman" w:hAnsi="Times New Roman" w:cs="Times New Roman"/>
                <w:sz w:val="20"/>
                <w:szCs w:val="20"/>
                <w:lang w:eastAsia="pl-PL"/>
              </w:rPr>
              <w:t xml:space="preserve"> i </w:t>
            </w:r>
            <w:proofErr w:type="spellStart"/>
            <w:r w:rsidRPr="00015CAA">
              <w:rPr>
                <w:rFonts w:ascii="Times New Roman" w:eastAsia="Times New Roman" w:hAnsi="Times New Roman" w:cs="Times New Roman"/>
                <w:sz w:val="20"/>
                <w:szCs w:val="20"/>
                <w:lang w:eastAsia="pl-PL"/>
              </w:rPr>
              <w:t>AlAT</w:t>
            </w:r>
            <w:proofErr w:type="spellEnd"/>
          </w:p>
          <w:p w:rsidR="007A01C9" w:rsidRPr="00015CAA" w:rsidRDefault="007A01C9" w:rsidP="003D77A0">
            <w:pPr>
              <w:numPr>
                <w:ilvl w:val="0"/>
                <w:numId w:val="30"/>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lastRenderedPageBreak/>
              <w:t>stężenie immunoglobulin w surowicy</w:t>
            </w:r>
          </w:p>
          <w:p w:rsidR="007A01C9" w:rsidRPr="00015CAA" w:rsidRDefault="007A01C9" w:rsidP="003D77A0">
            <w:pPr>
              <w:spacing w:after="0"/>
              <w:ind w:left="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oraz obliczyć wartość wskaźnika DAS 28 lub DAS lub SDAI, a także dokonać oceny skuteczności leczenia.</w:t>
            </w:r>
          </w:p>
          <w:p w:rsidR="007A01C9" w:rsidRPr="00015CAA" w:rsidRDefault="007A01C9" w:rsidP="003D77A0">
            <w:pPr>
              <w:spacing w:after="0"/>
              <w:ind w:left="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Jeżeli terapia jest kontynuowana powyższe powtarzać po każdych kolejnych 180 dniach (± 14 dni).</w:t>
            </w:r>
          </w:p>
          <w:p w:rsidR="007A01C9" w:rsidRPr="00015CAA" w:rsidRDefault="007A01C9" w:rsidP="003D77A0">
            <w:pPr>
              <w:spacing w:after="0"/>
              <w:ind w:left="357"/>
              <w:rPr>
                <w:rFonts w:ascii="Times New Roman" w:eastAsia="Times New Roman" w:hAnsi="Times New Roman" w:cs="Times New Roman"/>
                <w:sz w:val="20"/>
                <w:szCs w:val="20"/>
                <w:lang w:eastAsia="pl-PL"/>
              </w:rPr>
            </w:pPr>
          </w:p>
          <w:p w:rsidR="007A01C9" w:rsidRPr="00015CAA" w:rsidRDefault="007A01C9" w:rsidP="003D77A0">
            <w:pPr>
              <w:numPr>
                <w:ilvl w:val="0"/>
                <w:numId w:val="28"/>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Co najmniej raz na 365 dni należy wykonać EKG, RTG klatki piersiowej oraz badanie na obecność antygenu HIV HBV i przeciwciał </w:t>
            </w:r>
            <w:proofErr w:type="spellStart"/>
            <w:r w:rsidRPr="00015CAA">
              <w:rPr>
                <w:rFonts w:ascii="Times New Roman" w:eastAsia="Times New Roman" w:hAnsi="Times New Roman" w:cs="Times New Roman"/>
                <w:sz w:val="20"/>
                <w:szCs w:val="20"/>
                <w:lang w:eastAsia="pl-PL"/>
              </w:rPr>
              <w:t>anty-HCV</w:t>
            </w:r>
            <w:proofErr w:type="spellEnd"/>
            <w:r w:rsidRPr="00015CAA">
              <w:rPr>
                <w:rFonts w:ascii="Times New Roman" w:eastAsia="Times New Roman" w:hAnsi="Times New Roman" w:cs="Times New Roman"/>
                <w:sz w:val="20"/>
                <w:szCs w:val="20"/>
                <w:lang w:eastAsia="pl-PL"/>
              </w:rPr>
              <w:t>, jeżeli poprzedni wynik był negatywny.</w:t>
            </w:r>
          </w:p>
          <w:p w:rsidR="007A01C9" w:rsidRPr="00015CAA" w:rsidRDefault="007A01C9" w:rsidP="003D77A0">
            <w:pPr>
              <w:spacing w:after="0"/>
              <w:ind w:left="357"/>
              <w:rPr>
                <w:rFonts w:ascii="Times New Roman" w:eastAsia="Times New Roman" w:hAnsi="Times New Roman" w:cs="Times New Roman"/>
                <w:sz w:val="20"/>
                <w:szCs w:val="20"/>
                <w:lang w:eastAsia="pl-PL"/>
              </w:rPr>
            </w:pPr>
          </w:p>
          <w:p w:rsidR="007A01C9" w:rsidRPr="00015CAA" w:rsidRDefault="007A01C9" w:rsidP="003D77A0">
            <w:pPr>
              <w:numPr>
                <w:ilvl w:val="0"/>
                <w:numId w:val="28"/>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U pacjentów z dodatnim wynikiem badania na obecność przeciwciał </w:t>
            </w:r>
            <w:proofErr w:type="spellStart"/>
            <w:r w:rsidRPr="00015CAA">
              <w:rPr>
                <w:rFonts w:ascii="Times New Roman" w:eastAsia="Times New Roman" w:hAnsi="Times New Roman" w:cs="Times New Roman"/>
                <w:sz w:val="20"/>
                <w:szCs w:val="20"/>
                <w:lang w:eastAsia="pl-PL"/>
              </w:rPr>
              <w:t>anty-HCV</w:t>
            </w:r>
            <w:proofErr w:type="spellEnd"/>
            <w:r w:rsidRPr="00015CAA">
              <w:rPr>
                <w:rFonts w:ascii="Times New Roman" w:eastAsia="Times New Roman" w:hAnsi="Times New Roman" w:cs="Times New Roman"/>
                <w:sz w:val="20"/>
                <w:szCs w:val="20"/>
                <w:lang w:eastAsia="pl-PL"/>
              </w:rPr>
              <w:t xml:space="preserve"> raz na 6 miesięcy wykonać oznaczenie PCR HCV metodą ilościową.</w:t>
            </w:r>
          </w:p>
          <w:p w:rsidR="007A01C9" w:rsidRPr="00015CAA" w:rsidRDefault="007A01C9" w:rsidP="003D77A0">
            <w:pPr>
              <w:spacing w:after="0"/>
              <w:rPr>
                <w:rFonts w:ascii="Times New Roman" w:eastAsia="Times New Roman" w:hAnsi="Times New Roman" w:cs="Times New Roman"/>
                <w:sz w:val="20"/>
                <w:szCs w:val="20"/>
                <w:lang w:eastAsia="pl-PL"/>
              </w:rPr>
            </w:pPr>
          </w:p>
          <w:p w:rsidR="007A01C9" w:rsidRPr="00015CAA" w:rsidRDefault="007A01C9" w:rsidP="003D77A0">
            <w:pPr>
              <w:widowControl w:val="0"/>
              <w:numPr>
                <w:ilvl w:val="0"/>
                <w:numId w:val="27"/>
              </w:numPr>
              <w:autoSpaceDE w:val="0"/>
              <w:autoSpaceDN w:val="0"/>
              <w:adjustRightInd w:val="0"/>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 xml:space="preserve">Monitorowanie programu: </w:t>
            </w:r>
          </w:p>
          <w:p w:rsidR="007A01C9" w:rsidRPr="00015CAA" w:rsidRDefault="007A01C9" w:rsidP="003D77A0">
            <w:pPr>
              <w:widowControl w:val="0"/>
              <w:autoSpaceDE w:val="0"/>
              <w:autoSpaceDN w:val="0"/>
              <w:adjustRightInd w:val="0"/>
              <w:spacing w:after="0"/>
              <w:rPr>
                <w:rFonts w:ascii="Times New Roman" w:eastAsia="Times New Roman" w:hAnsi="Times New Roman" w:cs="Times New Roman"/>
                <w:sz w:val="20"/>
                <w:szCs w:val="20"/>
                <w:lang w:eastAsia="pl-PL"/>
              </w:rPr>
            </w:pPr>
          </w:p>
          <w:p w:rsidR="007A01C9" w:rsidRPr="00015CAA" w:rsidRDefault="007A01C9" w:rsidP="003D77A0">
            <w:pPr>
              <w:numPr>
                <w:ilvl w:val="0"/>
                <w:numId w:val="13"/>
              </w:numPr>
              <w:spacing w:after="0"/>
              <w:ind w:left="388" w:hanging="388"/>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gromadzenie w dokumentacji medycznej pacjenta danych dotyczących monitorowania leczenia i każdorazowe ich przedstawianie na żądanie kontrolerów  Narodowego Funduszu Zdrowia;</w:t>
            </w:r>
          </w:p>
          <w:p w:rsidR="007A01C9" w:rsidRPr="00015CAA" w:rsidRDefault="007A01C9" w:rsidP="003D77A0">
            <w:pPr>
              <w:numPr>
                <w:ilvl w:val="0"/>
                <w:numId w:val="13"/>
              </w:numPr>
              <w:spacing w:after="0"/>
              <w:ind w:left="388" w:hanging="388"/>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uzupełnienie danych zawartych w rejestrze (SMPT) dostępnym za pomocą aplikacji internetowej udostępnionej przez OW NFZ, z częstotliwością zgodną z opisem programu oraz na zakończenie leczenia;</w:t>
            </w:r>
          </w:p>
          <w:p w:rsidR="007A01C9" w:rsidRPr="00015CAA" w:rsidRDefault="007A01C9" w:rsidP="003D77A0">
            <w:pPr>
              <w:numPr>
                <w:ilvl w:val="0"/>
                <w:numId w:val="13"/>
              </w:numPr>
              <w:spacing w:after="0"/>
              <w:ind w:left="388" w:hanging="388"/>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przekazywanie informacji sprawozdawczo-rozliczeniowych do NFZ: informacje przekazuje się do NFZ w formie papierowej lub w formie elektronicznej, zgodnie z wymaganiami opublikowanymi przez Narodowy Fundusz Zdrowia.</w:t>
            </w:r>
          </w:p>
          <w:p w:rsidR="007A01C9" w:rsidRPr="00015CAA" w:rsidRDefault="007A01C9" w:rsidP="003D77A0">
            <w:pPr>
              <w:suppressAutoHyphens/>
              <w:spacing w:after="0"/>
              <w:ind w:left="48"/>
              <w:rPr>
                <w:rFonts w:ascii="Times New Roman" w:eastAsia="Times New Roman" w:hAnsi="Times New Roman" w:cs="Times New Roman"/>
                <w:b/>
                <w:sz w:val="20"/>
                <w:szCs w:val="20"/>
                <w:lang w:eastAsia="pl-PL"/>
              </w:rPr>
            </w:pPr>
          </w:p>
        </w:tc>
      </w:tr>
      <w:tr w:rsidR="007A01C9" w:rsidRPr="00015CAA" w:rsidTr="006069DD">
        <w:tc>
          <w:tcPr>
            <w:tcW w:w="5000" w:type="pct"/>
            <w:gridSpan w:val="3"/>
            <w:tcBorders>
              <w:top w:val="single" w:sz="4" w:space="0" w:color="auto"/>
              <w:left w:val="single" w:sz="4" w:space="0" w:color="auto"/>
              <w:bottom w:val="single" w:sz="4" w:space="0" w:color="auto"/>
              <w:right w:val="single" w:sz="4" w:space="0" w:color="auto"/>
            </w:tcBorders>
          </w:tcPr>
          <w:p w:rsidR="007A01C9" w:rsidRPr="00015CAA" w:rsidRDefault="007A01C9" w:rsidP="003D77A0">
            <w:pPr>
              <w:spacing w:after="0"/>
              <w:jc w:val="center"/>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lastRenderedPageBreak/>
              <w:t>MŁODZIEŃCZE IDIOPATYCZNE ZAPALENIE STAWÓW</w:t>
            </w:r>
          </w:p>
        </w:tc>
      </w:tr>
      <w:tr w:rsidR="007A01C9" w:rsidRPr="00015CAA" w:rsidTr="006069DD">
        <w:tc>
          <w:tcPr>
            <w:tcW w:w="1735" w:type="pct"/>
            <w:tcBorders>
              <w:top w:val="single" w:sz="4" w:space="0" w:color="auto"/>
              <w:left w:val="single" w:sz="4" w:space="0" w:color="auto"/>
              <w:bottom w:val="single" w:sz="4" w:space="0" w:color="auto"/>
            </w:tcBorders>
          </w:tcPr>
          <w:p w:rsidR="007A01C9" w:rsidRPr="00015CAA" w:rsidRDefault="007A01C9" w:rsidP="003D77A0">
            <w:pPr>
              <w:numPr>
                <w:ilvl w:val="0"/>
                <w:numId w:val="19"/>
              </w:numPr>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Kryteria kwalifikacji:</w:t>
            </w:r>
          </w:p>
          <w:p w:rsidR="007A01C9" w:rsidRPr="00015CAA" w:rsidRDefault="007A01C9" w:rsidP="003D77A0">
            <w:pPr>
              <w:spacing w:after="0"/>
              <w:rPr>
                <w:rFonts w:ascii="Times New Roman" w:eastAsia="Times New Roman" w:hAnsi="Times New Roman" w:cs="Times New Roman"/>
                <w:b/>
                <w:sz w:val="20"/>
                <w:szCs w:val="20"/>
                <w:lang w:eastAsia="pl-PL"/>
              </w:rPr>
            </w:pPr>
          </w:p>
          <w:p w:rsidR="007A01C9" w:rsidRPr="00015CAA" w:rsidRDefault="007A01C9" w:rsidP="003D77A0">
            <w:pPr>
              <w:widowControl w:val="0"/>
              <w:numPr>
                <w:ilvl w:val="0"/>
                <w:numId w:val="20"/>
              </w:numPr>
              <w:tabs>
                <w:tab w:val="num" w:pos="1021"/>
              </w:tabs>
              <w:autoSpaceDE w:val="0"/>
              <w:autoSpaceDN w:val="0"/>
              <w:adjustRightInd w:val="0"/>
              <w:spacing w:after="0"/>
              <w:ind w:left="357" w:hanging="357"/>
              <w:rPr>
                <w:rFonts w:ascii="CKBKDC+Arial" w:eastAsia="Times New Roman" w:hAnsi="CKBKDC+Arial" w:cs="CKBKDC+Arial"/>
                <w:sz w:val="20"/>
                <w:szCs w:val="20"/>
                <w:lang w:eastAsia="pl-PL"/>
              </w:rPr>
            </w:pPr>
            <w:r w:rsidRPr="00015CAA">
              <w:rPr>
                <w:rFonts w:ascii="Times New Roman" w:eastAsia="Times New Roman" w:hAnsi="Times New Roman" w:cs="Times New Roman"/>
                <w:sz w:val="20"/>
                <w:szCs w:val="20"/>
                <w:lang w:eastAsia="pl-PL"/>
              </w:rPr>
              <w:t xml:space="preserve">Podczas pierwszej kwalifikacji do programu oraz gdy jest to wskazane w opisie programu, udział pacjenta w programie wymaga uzyskania akceptacji za pośrednictwem aplikacji SMPT przez Zespół Koordynacyjny do Spraw </w:t>
            </w:r>
            <w:r w:rsidRPr="00015CAA">
              <w:rPr>
                <w:rFonts w:ascii="Times New Roman" w:eastAsia="Times New Roman" w:hAnsi="Times New Roman" w:cs="Times New Roman"/>
                <w:sz w:val="20"/>
                <w:szCs w:val="20"/>
                <w:lang w:eastAsia="pl-PL"/>
              </w:rPr>
              <w:lastRenderedPageBreak/>
              <w:t>Leczenia Biologicznego w Chorobach Reumatycznych, powoływany przez Prezesa Narodowego Funduszu Zdrowia. Do czasu aktualizacji aplikacji SMPT, dopuszcza się udział pacjenta w programie na podstawie akceptacji  Zespołu Koordynacyjnego do Spraw Leczenia Biologicznego w Chorobach Reumatycznych, uzyskanej w inny sposób niż za pośrednictwem aplikacji SMPT.</w:t>
            </w:r>
          </w:p>
          <w:p w:rsidR="007A01C9" w:rsidRPr="00015CAA" w:rsidRDefault="007A01C9" w:rsidP="003D77A0">
            <w:pPr>
              <w:widowControl w:val="0"/>
              <w:autoSpaceDE w:val="0"/>
              <w:autoSpaceDN w:val="0"/>
              <w:adjustRightInd w:val="0"/>
              <w:spacing w:after="0"/>
              <w:ind w:left="357"/>
              <w:rPr>
                <w:rFonts w:ascii="CKBKDC+Arial" w:eastAsia="Times New Roman" w:hAnsi="CKBKDC+Arial" w:cs="CKBKDC+Arial"/>
                <w:sz w:val="20"/>
                <w:szCs w:val="20"/>
                <w:lang w:eastAsia="pl-PL"/>
              </w:rPr>
            </w:pPr>
            <w:r w:rsidRPr="00015CAA">
              <w:rPr>
                <w:rFonts w:ascii="Times New Roman" w:eastAsia="Times New Roman" w:hAnsi="Times New Roman" w:cs="Times New Roman"/>
                <w:sz w:val="20"/>
                <w:szCs w:val="20"/>
                <w:lang w:eastAsia="pl-PL"/>
              </w:rPr>
              <w:t>Ponadto, gdy jest to zaznaczone w opisie programu, udział pacjenta może wymagać uzyskania indywidualnej zgody Zespołu, o którym mowa powyżej.</w:t>
            </w:r>
          </w:p>
          <w:p w:rsidR="007A01C9" w:rsidRPr="00015CAA" w:rsidRDefault="007A01C9" w:rsidP="003D77A0">
            <w:pPr>
              <w:numPr>
                <w:ilvl w:val="0"/>
                <w:numId w:val="20"/>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Do programu kwalifikuje się pacjentów  w wieku od 2 do 18 lat (do terapii </w:t>
            </w:r>
            <w:proofErr w:type="spellStart"/>
            <w:r w:rsidRPr="00015CAA">
              <w:rPr>
                <w:rFonts w:ascii="Times New Roman" w:eastAsia="Times New Roman" w:hAnsi="Times New Roman" w:cs="Times New Roman"/>
                <w:sz w:val="20"/>
                <w:szCs w:val="20"/>
                <w:lang w:eastAsia="pl-PL"/>
              </w:rPr>
              <w:t>adalimumabem</w:t>
            </w:r>
            <w:proofErr w:type="spellEnd"/>
            <w:r w:rsidRPr="00015CAA">
              <w:rPr>
                <w:rFonts w:ascii="Times New Roman" w:eastAsia="Times New Roman" w:hAnsi="Times New Roman" w:cs="Times New Roman"/>
                <w:sz w:val="20"/>
                <w:szCs w:val="20"/>
                <w:lang w:eastAsia="pl-PL"/>
              </w:rPr>
              <w:t xml:space="preserve">  lub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albo od 4 do 18 lat (do terapii </w:t>
            </w:r>
            <w:proofErr w:type="spellStart"/>
            <w:r w:rsidRPr="00015CAA">
              <w:rPr>
                <w:rFonts w:ascii="Times New Roman" w:eastAsia="Times New Roman" w:hAnsi="Times New Roman" w:cs="Times New Roman"/>
                <w:sz w:val="20"/>
                <w:szCs w:val="20"/>
                <w:lang w:eastAsia="pl-PL"/>
              </w:rPr>
              <w:t>etanerceptem</w:t>
            </w:r>
            <w:proofErr w:type="spellEnd"/>
            <w:r w:rsidRPr="00015CAA">
              <w:rPr>
                <w:rFonts w:ascii="Times New Roman" w:eastAsia="Times New Roman" w:hAnsi="Times New Roman" w:cs="Times New Roman"/>
                <w:sz w:val="20"/>
                <w:szCs w:val="20"/>
                <w:lang w:eastAsia="pl-PL"/>
              </w:rPr>
              <w:t>), spełniających</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kryteria rozpoznania:</w:t>
            </w:r>
          </w:p>
          <w:p w:rsidR="007A01C9" w:rsidRPr="00015CAA" w:rsidRDefault="007A01C9" w:rsidP="003D77A0">
            <w:pPr>
              <w:numPr>
                <w:ilvl w:val="0"/>
                <w:numId w:val="3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wielostawowej postaci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młodzieńczego idiopatycznego   zapalenia stawów (MIZS) z co najmniej 5 obrzękniętymi stawami  i co najmniej 3 stawami o ograniczonej ruchomości oraz bolesnością, przyspieszonym powyżej normy OB. lub CRP i oceną przez lekarza aktywności choroby na co najmniej 4 w 10 punktowej skali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mimo leczenia dwoma, wymienionymi w programie lekami modyfikującymi przebieg choroby/lekami immunosupresyjnymi w obowiązujących dawkach (w tym </w:t>
            </w:r>
            <w:proofErr w:type="spellStart"/>
            <w:r w:rsidRPr="00015CAA">
              <w:rPr>
                <w:rFonts w:ascii="Times New Roman" w:eastAsia="Times New Roman" w:hAnsi="Times New Roman" w:cs="Times New Roman"/>
                <w:sz w:val="20"/>
                <w:szCs w:val="20"/>
                <w:lang w:eastAsia="pl-PL"/>
              </w:rPr>
              <w:t>metotreksatem</w:t>
            </w:r>
            <w:proofErr w:type="spellEnd"/>
            <w:r w:rsidRPr="00015CAA">
              <w:rPr>
                <w:rFonts w:ascii="Times New Roman" w:eastAsia="Times New Roman" w:hAnsi="Times New Roman" w:cs="Times New Roman"/>
                <w:sz w:val="20"/>
                <w:szCs w:val="20"/>
                <w:lang w:eastAsia="pl-PL"/>
              </w:rPr>
              <w:t>) przez minimum 3 miesiące każdym, albo</w:t>
            </w:r>
          </w:p>
          <w:p w:rsidR="007A01C9" w:rsidRPr="00015CAA" w:rsidRDefault="007A01C9" w:rsidP="003D77A0">
            <w:pPr>
              <w:numPr>
                <w:ilvl w:val="0"/>
                <w:numId w:val="31"/>
              </w:numPr>
              <w:spacing w:after="0"/>
              <w:ind w:left="357" w:hanging="357"/>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nielicznostawowej</w:t>
            </w:r>
            <w:proofErr w:type="spellEnd"/>
            <w:r w:rsidRPr="00015CAA">
              <w:rPr>
                <w:rFonts w:ascii="Times New Roman" w:eastAsia="Times New Roman" w:hAnsi="Times New Roman" w:cs="Times New Roman"/>
                <w:sz w:val="20"/>
                <w:szCs w:val="20"/>
                <w:lang w:eastAsia="pl-PL"/>
              </w:rPr>
              <w:t xml:space="preserve"> postaci MIZS, rozszerzającej się </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i przetrwałej ponad 6 miesięcy, z obecnością co najmniej 2 stawów obrzękniętych lub z ograniczoną ruchomością i bolesnością, przyspieszonym dwukrotnie powyżej normy OB. lub CRP i oceną przez lekarza aktywności choroby na co najmniej 7 w 10-cio punktowej skali z towarzyszącym bólem, tkliwością lub obiema tymi cechami, mimo leczenia dwoma,  wymienionymi w programie lekami modyfikującymi przebieg choroby/lekami </w:t>
            </w:r>
            <w:r w:rsidRPr="00015CAA">
              <w:rPr>
                <w:rFonts w:ascii="Times New Roman" w:eastAsia="Times New Roman" w:hAnsi="Times New Roman" w:cs="Times New Roman"/>
                <w:sz w:val="20"/>
                <w:szCs w:val="20"/>
                <w:lang w:eastAsia="pl-PL"/>
              </w:rPr>
              <w:lastRenderedPageBreak/>
              <w:t xml:space="preserve">immunosupresyjnymi w obowiązujących dawkach (w tym </w:t>
            </w:r>
            <w:proofErr w:type="spellStart"/>
            <w:r w:rsidRPr="00015CAA">
              <w:rPr>
                <w:rFonts w:ascii="Times New Roman" w:eastAsia="Times New Roman" w:hAnsi="Times New Roman" w:cs="Times New Roman"/>
                <w:sz w:val="20"/>
                <w:szCs w:val="20"/>
                <w:lang w:eastAsia="pl-PL"/>
              </w:rPr>
              <w:t>metotreksatem</w:t>
            </w:r>
            <w:proofErr w:type="spellEnd"/>
            <w:r w:rsidRPr="00015CAA">
              <w:rPr>
                <w:rFonts w:ascii="Times New Roman" w:eastAsia="Times New Roman" w:hAnsi="Times New Roman" w:cs="Times New Roman"/>
                <w:sz w:val="20"/>
                <w:szCs w:val="20"/>
                <w:lang w:eastAsia="pl-PL"/>
              </w:rPr>
              <w:t xml:space="preserve">) przez minimum 3 miesiące każdym, albo </w:t>
            </w:r>
          </w:p>
          <w:p w:rsidR="007A01C9" w:rsidRPr="00015CAA" w:rsidRDefault="007A01C9" w:rsidP="003D77A0">
            <w:pPr>
              <w:numPr>
                <w:ilvl w:val="0"/>
                <w:numId w:val="3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MIZS z dominującym  zapaleniem przedniego odcinka błony naczyniowej oka niepoddającym się leczeniu dwoma, wymienionymi w programie lekami modyfikującymi przebieg choroby/lekami immunosupresyjnymi w obowiązujących dawkach (w tym </w:t>
            </w:r>
            <w:proofErr w:type="spellStart"/>
            <w:r w:rsidRPr="00015CAA">
              <w:rPr>
                <w:rFonts w:ascii="Times New Roman" w:eastAsia="Times New Roman" w:hAnsi="Times New Roman" w:cs="Times New Roman"/>
                <w:sz w:val="20"/>
                <w:szCs w:val="20"/>
                <w:lang w:eastAsia="pl-PL"/>
              </w:rPr>
              <w:t>metotreksatem</w:t>
            </w:r>
            <w:proofErr w:type="spellEnd"/>
            <w:r w:rsidRPr="00015CAA">
              <w:rPr>
                <w:rFonts w:ascii="Times New Roman" w:eastAsia="Times New Roman" w:hAnsi="Times New Roman" w:cs="Times New Roman"/>
                <w:sz w:val="20"/>
                <w:szCs w:val="20"/>
                <w:lang w:eastAsia="pl-PL"/>
              </w:rPr>
              <w:t>) przez minimum 3 miesiące każdym, niezależnie od ilości zajętych stawów.</w:t>
            </w:r>
          </w:p>
          <w:p w:rsidR="007A01C9" w:rsidRPr="00015CAA" w:rsidRDefault="007A01C9" w:rsidP="003D77A0">
            <w:pPr>
              <w:numPr>
                <w:ilvl w:val="0"/>
                <w:numId w:val="20"/>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Ponadto do terapii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kwalifikują się pacjenci w wieku od 2 do 18 lat, z rozpoznaniem:</w:t>
            </w:r>
          </w:p>
          <w:p w:rsidR="007A01C9" w:rsidRPr="00015CAA" w:rsidRDefault="007A01C9" w:rsidP="003D77A0">
            <w:pPr>
              <w:numPr>
                <w:ilvl w:val="0"/>
                <w:numId w:val="3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MIZS o początku uogólnionym (rozpoznanie na podstawie kryteriów ILAR z 1997 r.) z dominującymi objawami układowymi, u których mimo stosowania przez 6 tygodni pełnych dawek </w:t>
            </w:r>
            <w:proofErr w:type="spellStart"/>
            <w:r w:rsidRPr="00015CAA">
              <w:rPr>
                <w:rFonts w:ascii="Times New Roman" w:eastAsia="Times New Roman" w:hAnsi="Times New Roman" w:cs="Times New Roman"/>
                <w:sz w:val="20"/>
                <w:szCs w:val="20"/>
                <w:lang w:eastAsia="pl-PL"/>
              </w:rPr>
              <w:t>glikokortykosteroidów</w:t>
            </w:r>
            <w:proofErr w:type="spellEnd"/>
            <w:r w:rsidRPr="00015CAA">
              <w:rPr>
                <w:rFonts w:ascii="Times New Roman" w:eastAsia="Times New Roman" w:hAnsi="Times New Roman" w:cs="Times New Roman"/>
                <w:sz w:val="20"/>
                <w:szCs w:val="20"/>
                <w:lang w:eastAsia="pl-PL"/>
              </w:rPr>
              <w:t xml:space="preserve"> (GKS) (doustnie 1 mg/kg </w:t>
            </w:r>
            <w:proofErr w:type="spellStart"/>
            <w:r w:rsidRPr="00015CAA">
              <w:rPr>
                <w:rFonts w:ascii="Times New Roman" w:eastAsia="Times New Roman" w:hAnsi="Times New Roman" w:cs="Times New Roman"/>
                <w:sz w:val="20"/>
                <w:szCs w:val="20"/>
                <w:lang w:eastAsia="pl-PL"/>
              </w:rPr>
              <w:t>m.c</w:t>
            </w:r>
            <w:proofErr w:type="spellEnd"/>
            <w:r w:rsidRPr="00015CAA">
              <w:rPr>
                <w:rFonts w:ascii="Times New Roman" w:eastAsia="Times New Roman" w:hAnsi="Times New Roman" w:cs="Times New Roman"/>
                <w:sz w:val="20"/>
                <w:szCs w:val="20"/>
                <w:lang w:eastAsia="pl-PL"/>
              </w:rPr>
              <w:t xml:space="preserve">./dobę, maksymalnie 60 mg/dobę lub </w:t>
            </w:r>
            <w:proofErr w:type="spellStart"/>
            <w:r w:rsidRPr="00015CAA">
              <w:rPr>
                <w:rFonts w:ascii="Times New Roman" w:eastAsia="Times New Roman" w:hAnsi="Times New Roman" w:cs="Times New Roman"/>
                <w:sz w:val="20"/>
                <w:szCs w:val="20"/>
                <w:lang w:eastAsia="pl-PL"/>
              </w:rPr>
              <w:t>metyloprednizolonu</w:t>
            </w:r>
            <w:proofErr w:type="spellEnd"/>
            <w:r w:rsidRPr="00015CAA">
              <w:rPr>
                <w:rFonts w:ascii="Times New Roman" w:eastAsia="Times New Roman" w:hAnsi="Times New Roman" w:cs="Times New Roman"/>
                <w:sz w:val="20"/>
                <w:szCs w:val="20"/>
                <w:lang w:eastAsia="pl-PL"/>
              </w:rPr>
              <w:t xml:space="preserve"> 10-30 mg/kg </w:t>
            </w:r>
            <w:proofErr w:type="spellStart"/>
            <w:r w:rsidRPr="00015CAA">
              <w:rPr>
                <w:rFonts w:ascii="Times New Roman" w:eastAsia="Times New Roman" w:hAnsi="Times New Roman" w:cs="Times New Roman"/>
                <w:sz w:val="20"/>
                <w:szCs w:val="20"/>
                <w:lang w:eastAsia="pl-PL"/>
              </w:rPr>
              <w:t>m.c</w:t>
            </w:r>
            <w:proofErr w:type="spellEnd"/>
            <w:r w:rsidRPr="00015CAA">
              <w:rPr>
                <w:rFonts w:ascii="Times New Roman" w:eastAsia="Times New Roman" w:hAnsi="Times New Roman" w:cs="Times New Roman"/>
                <w:sz w:val="20"/>
                <w:szCs w:val="20"/>
                <w:lang w:eastAsia="pl-PL"/>
              </w:rPr>
              <w:t>./wlew przez 3 dni i ewentualnie powtarzane przez kolejne tygodnie) utrzymuje się lub wystąpiła ponownie gorączka i utrzymują się układowe objawy wysokiej aktywności choroby, rozumianej jako wartość 7 lub więcej w 10-cio punktowej skali, wg oceny lekarza, albo</w:t>
            </w:r>
          </w:p>
          <w:p w:rsidR="007A01C9" w:rsidRPr="00015CAA" w:rsidRDefault="007A01C9" w:rsidP="003D77A0">
            <w:pPr>
              <w:numPr>
                <w:ilvl w:val="0"/>
                <w:numId w:val="36"/>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MIZS o początku uogólnionym (rozpoznanie na podstawie kryteriów ILAR z 1997r)</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z zajęciem co najmniej 5 stawów lub z zajęciem co najmniej 2 stawów i towarzyszącą gorączką powyżej 38</w:t>
            </w:r>
            <w:r w:rsidRPr="00015CAA">
              <w:rPr>
                <w:rFonts w:ascii="Times New Roman" w:eastAsia="Times New Roman" w:hAnsi="Times New Roman" w:cs="Times New Roman"/>
                <w:sz w:val="20"/>
                <w:szCs w:val="20"/>
                <w:vertAlign w:val="superscript"/>
                <w:lang w:eastAsia="pl-PL"/>
              </w:rPr>
              <w:t>o</w:t>
            </w:r>
            <w:r w:rsidRPr="00015CAA">
              <w:rPr>
                <w:rFonts w:ascii="Times New Roman" w:eastAsia="Times New Roman" w:hAnsi="Times New Roman" w:cs="Times New Roman"/>
                <w:sz w:val="20"/>
                <w:szCs w:val="20"/>
                <w:lang w:eastAsia="pl-PL"/>
              </w:rPr>
              <w:t xml:space="preserve">C, u których aktywna choroba utrzymuje się przez co najmniej 6 miesięcy i niewystarczająco odpowiada na leczenie GKS w dawce nie niższej niż 0,5 mg/kg mc/dobę oraz </w:t>
            </w:r>
            <w:proofErr w:type="spellStart"/>
            <w:r w:rsidRPr="00015CAA">
              <w:rPr>
                <w:rFonts w:ascii="Times New Roman" w:eastAsia="Times New Roman" w:hAnsi="Times New Roman" w:cs="Times New Roman"/>
                <w:sz w:val="20"/>
                <w:szCs w:val="20"/>
                <w:lang w:eastAsia="pl-PL"/>
              </w:rPr>
              <w:t>metotreksatem</w:t>
            </w:r>
            <w:proofErr w:type="spellEnd"/>
            <w:r w:rsidRPr="00015CAA">
              <w:rPr>
                <w:rFonts w:ascii="Times New Roman" w:eastAsia="Times New Roman" w:hAnsi="Times New Roman" w:cs="Times New Roman"/>
                <w:sz w:val="20"/>
                <w:szCs w:val="20"/>
                <w:lang w:eastAsia="pl-PL"/>
              </w:rPr>
              <w:t xml:space="preserve"> w obowiązującej dawce (ewentualnie w postaci podskórnej), podawanym przez co najmniej 3 miesiące albo, w przypadku nietolerancji </w:t>
            </w:r>
            <w:proofErr w:type="spellStart"/>
            <w:r w:rsidRPr="00015CAA">
              <w:rPr>
                <w:rFonts w:ascii="Times New Roman" w:eastAsia="Times New Roman" w:hAnsi="Times New Roman" w:cs="Times New Roman"/>
                <w:sz w:val="20"/>
                <w:szCs w:val="20"/>
                <w:lang w:eastAsia="pl-PL"/>
              </w:rPr>
              <w:t>metotreksatu</w:t>
            </w:r>
            <w:proofErr w:type="spellEnd"/>
            <w:r w:rsidRPr="00015CAA">
              <w:rPr>
                <w:rFonts w:ascii="Times New Roman" w:eastAsia="Times New Roman" w:hAnsi="Times New Roman" w:cs="Times New Roman"/>
                <w:sz w:val="20"/>
                <w:szCs w:val="20"/>
                <w:lang w:eastAsia="pl-PL"/>
              </w:rPr>
              <w:t xml:space="preserve">, innym lekiem modyfikującym przebieg choroby/lekiem </w:t>
            </w:r>
            <w:r w:rsidRPr="00015CAA">
              <w:rPr>
                <w:rFonts w:ascii="Times New Roman" w:eastAsia="Times New Roman" w:hAnsi="Times New Roman" w:cs="Times New Roman"/>
                <w:sz w:val="20"/>
                <w:szCs w:val="20"/>
                <w:lang w:eastAsia="pl-PL"/>
              </w:rPr>
              <w:lastRenderedPageBreak/>
              <w:t xml:space="preserve">immunosupresyjnym, podawanym w obowiązującej dawce przez co najmniej 3 miesiące. </w:t>
            </w:r>
          </w:p>
          <w:p w:rsidR="007A01C9" w:rsidRPr="00015CAA" w:rsidRDefault="007A01C9" w:rsidP="003D77A0">
            <w:pPr>
              <w:numPr>
                <w:ilvl w:val="0"/>
                <w:numId w:val="20"/>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Do programu kwalifikują się także pacjenci w wieku poniżej 18 roku życia, poddani leczeniu MIZS inhibitorem TNF alfa lub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w ramach programu lekowego,</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u których:</w:t>
            </w:r>
          </w:p>
          <w:p w:rsidR="007A01C9" w:rsidRPr="00015CAA" w:rsidRDefault="007A01C9" w:rsidP="003D77A0">
            <w:pPr>
              <w:numPr>
                <w:ilvl w:val="0"/>
                <w:numId w:val="37"/>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wystąpiła reakcja uczuleniowa na substancję czynną lub pomocniczą leku </w:t>
            </w:r>
          </w:p>
          <w:p w:rsidR="007A01C9" w:rsidRPr="00015CAA" w:rsidRDefault="007A01C9" w:rsidP="003D77A0">
            <w:pPr>
              <w:numPr>
                <w:ilvl w:val="0"/>
                <w:numId w:val="37"/>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wystąpiły działania niepożądane uniemożliwiające kontynuowanie terapii lub</w:t>
            </w:r>
          </w:p>
          <w:p w:rsidR="007A01C9" w:rsidRPr="00015CAA" w:rsidRDefault="007A01C9" w:rsidP="003D77A0">
            <w:pPr>
              <w:numPr>
                <w:ilvl w:val="0"/>
                <w:numId w:val="37"/>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stwierdzono brak albo utratę odpowiedzi na zastosowane leczenie (zgodnie z definicją zawartą w kryteriach wyłączenia z programu w części dotyczącej MIZS niniejszego programu lekowego;</w:t>
            </w:r>
          </w:p>
          <w:p w:rsidR="007A01C9" w:rsidRPr="00015CAA" w:rsidRDefault="007A01C9" w:rsidP="003D77A0">
            <w:pPr>
              <w:numPr>
                <w:ilvl w:val="0"/>
                <w:numId w:val="20"/>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Do programu kwalifikowani są również pacjenci, uprzednio leczeni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w ramach hospitalizacji według jednorodnych grup pacjentów (JGP) pod warunkiem, że przed rozpoczęciem terapii spełniali kryteria włączenia do programu oraz nie spełnili kryteriów zakończenia udziału w programie – po uzyskaniu akceptacji Zespołu Koordynacyjnego do Spraw Leczenia Biologicznego w Chorobach Reumatycznych.</w:t>
            </w:r>
          </w:p>
          <w:p w:rsidR="007A01C9" w:rsidRPr="00015CAA" w:rsidRDefault="007A01C9" w:rsidP="003D77A0">
            <w:pPr>
              <w:numPr>
                <w:ilvl w:val="0"/>
                <w:numId w:val="20"/>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Pacjent z rozpoznaniem MIZS, który ukończył 18 rok życia może być leczony, w zależności od obrazu klinicznego choroby, na zasadach określonych w programach lekowych dotyczących terapii RZS albo ŁZS, albo ZZSK.</w:t>
            </w:r>
          </w:p>
          <w:p w:rsidR="007A01C9" w:rsidRPr="00015CAA" w:rsidRDefault="007A01C9" w:rsidP="003D77A0">
            <w:pPr>
              <w:numPr>
                <w:ilvl w:val="0"/>
                <w:numId w:val="20"/>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 ramach programu nie dopuszcza się możliwości kwalifikowania do terapii substancją czynną, którą pacjent był leczony w przeszłości nieskutecznie.</w:t>
            </w:r>
          </w:p>
          <w:p w:rsidR="007A01C9" w:rsidRPr="00015CAA" w:rsidRDefault="007A01C9" w:rsidP="003D77A0">
            <w:pPr>
              <w:numPr>
                <w:ilvl w:val="0"/>
                <w:numId w:val="20"/>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Obowiązujące dawki wynoszą dla: </w:t>
            </w:r>
            <w:proofErr w:type="spellStart"/>
            <w:r w:rsidRPr="00015CAA">
              <w:rPr>
                <w:rFonts w:ascii="Times New Roman" w:eastAsia="Times New Roman" w:hAnsi="Times New Roman" w:cs="Times New Roman"/>
                <w:sz w:val="20"/>
                <w:szCs w:val="20"/>
                <w:lang w:eastAsia="pl-PL"/>
              </w:rPr>
              <w:t>metotreksatu</w:t>
            </w:r>
            <w:proofErr w:type="spellEnd"/>
            <w:r w:rsidRPr="00015CAA">
              <w:rPr>
                <w:rFonts w:ascii="Times New Roman" w:eastAsia="Times New Roman" w:hAnsi="Times New Roman" w:cs="Times New Roman"/>
                <w:sz w:val="20"/>
                <w:szCs w:val="20"/>
                <w:lang w:eastAsia="pl-PL"/>
              </w:rPr>
              <w:t xml:space="preserve"> – 15-20 mg/</w:t>
            </w:r>
            <w:proofErr w:type="spellStart"/>
            <w:r w:rsidRPr="00015CAA">
              <w:rPr>
                <w:rFonts w:ascii="Times New Roman" w:eastAsia="Times New Roman" w:hAnsi="Times New Roman" w:cs="Times New Roman"/>
                <w:sz w:val="20"/>
                <w:szCs w:val="20"/>
                <w:lang w:eastAsia="pl-PL"/>
              </w:rPr>
              <w:t>m²</w:t>
            </w:r>
            <w:proofErr w:type="spellEnd"/>
            <w:r w:rsidRPr="00015CAA">
              <w:rPr>
                <w:rFonts w:ascii="Times New Roman" w:eastAsia="Times New Roman" w:hAnsi="Times New Roman" w:cs="Times New Roman"/>
                <w:sz w:val="20"/>
                <w:szCs w:val="20"/>
                <w:lang w:eastAsia="pl-PL"/>
              </w:rPr>
              <w:t xml:space="preserve">/tydzień (maksymalnie 30 mg/tydzień), </w:t>
            </w:r>
            <w:proofErr w:type="spellStart"/>
            <w:r w:rsidRPr="00015CAA">
              <w:rPr>
                <w:rFonts w:ascii="Times New Roman" w:eastAsia="Times New Roman" w:hAnsi="Times New Roman" w:cs="Times New Roman"/>
                <w:sz w:val="20"/>
                <w:szCs w:val="20"/>
                <w:lang w:eastAsia="pl-PL"/>
              </w:rPr>
              <w:t>sulfasalazyny</w:t>
            </w:r>
            <w:proofErr w:type="spellEnd"/>
            <w:r w:rsidRPr="00015CAA">
              <w:rPr>
                <w:rFonts w:ascii="Times New Roman" w:eastAsia="Times New Roman" w:hAnsi="Times New Roman" w:cs="Times New Roman"/>
                <w:sz w:val="20"/>
                <w:szCs w:val="20"/>
                <w:lang w:eastAsia="pl-PL"/>
              </w:rPr>
              <w:t xml:space="preserve"> - 30 mg/kg </w:t>
            </w:r>
            <w:proofErr w:type="spellStart"/>
            <w:r w:rsidRPr="00015CAA">
              <w:rPr>
                <w:rFonts w:ascii="Times New Roman" w:eastAsia="Times New Roman" w:hAnsi="Times New Roman" w:cs="Times New Roman"/>
                <w:sz w:val="20"/>
                <w:szCs w:val="20"/>
                <w:lang w:eastAsia="pl-PL"/>
              </w:rPr>
              <w:t>m.c</w:t>
            </w:r>
            <w:proofErr w:type="spellEnd"/>
            <w:r w:rsidRPr="00015CAA">
              <w:rPr>
                <w:rFonts w:ascii="Times New Roman" w:eastAsia="Times New Roman" w:hAnsi="Times New Roman" w:cs="Times New Roman"/>
                <w:sz w:val="20"/>
                <w:szCs w:val="20"/>
                <w:lang w:eastAsia="pl-PL"/>
              </w:rPr>
              <w:t xml:space="preserve">./dobę, </w:t>
            </w:r>
            <w:proofErr w:type="spellStart"/>
            <w:r w:rsidRPr="00015CAA">
              <w:rPr>
                <w:rFonts w:ascii="Times New Roman" w:eastAsia="Times New Roman" w:hAnsi="Times New Roman" w:cs="Times New Roman"/>
                <w:sz w:val="20"/>
                <w:szCs w:val="20"/>
                <w:lang w:eastAsia="pl-PL"/>
              </w:rPr>
              <w:t>cyklosporyny</w:t>
            </w:r>
            <w:proofErr w:type="spellEnd"/>
            <w:r w:rsidRPr="00015CAA">
              <w:rPr>
                <w:rFonts w:ascii="Times New Roman" w:eastAsia="Times New Roman" w:hAnsi="Times New Roman" w:cs="Times New Roman"/>
                <w:sz w:val="20"/>
                <w:szCs w:val="20"/>
                <w:lang w:eastAsia="pl-PL"/>
              </w:rPr>
              <w:t xml:space="preserve"> A 3-5 </w:t>
            </w:r>
            <w:r w:rsidRPr="00015CAA">
              <w:rPr>
                <w:rFonts w:ascii="Times New Roman" w:eastAsia="Times New Roman" w:hAnsi="Times New Roman" w:cs="Times New Roman"/>
                <w:sz w:val="20"/>
                <w:szCs w:val="20"/>
                <w:lang w:eastAsia="pl-PL"/>
              </w:rPr>
              <w:lastRenderedPageBreak/>
              <w:t xml:space="preserve">mg/kg </w:t>
            </w:r>
            <w:proofErr w:type="spellStart"/>
            <w:r w:rsidRPr="00015CAA">
              <w:rPr>
                <w:rFonts w:ascii="Times New Roman" w:eastAsia="Times New Roman" w:hAnsi="Times New Roman" w:cs="Times New Roman"/>
                <w:sz w:val="20"/>
                <w:szCs w:val="20"/>
                <w:lang w:eastAsia="pl-PL"/>
              </w:rPr>
              <w:t>m.c</w:t>
            </w:r>
            <w:proofErr w:type="spellEnd"/>
            <w:r w:rsidRPr="00015CAA">
              <w:rPr>
                <w:rFonts w:ascii="Times New Roman" w:eastAsia="Times New Roman" w:hAnsi="Times New Roman" w:cs="Times New Roman"/>
                <w:sz w:val="20"/>
                <w:szCs w:val="20"/>
                <w:lang w:eastAsia="pl-PL"/>
              </w:rPr>
              <w:t xml:space="preserve">./dobę, </w:t>
            </w:r>
            <w:proofErr w:type="spellStart"/>
            <w:r w:rsidRPr="00015CAA">
              <w:rPr>
                <w:rFonts w:ascii="Times New Roman" w:eastAsia="Times New Roman" w:hAnsi="Times New Roman" w:cs="Times New Roman"/>
                <w:sz w:val="20"/>
                <w:szCs w:val="20"/>
                <w:lang w:eastAsia="pl-PL"/>
              </w:rPr>
              <w:t>chlorochiny</w:t>
            </w:r>
            <w:proofErr w:type="spellEnd"/>
            <w:r w:rsidRPr="00015CAA">
              <w:rPr>
                <w:rFonts w:ascii="Times New Roman" w:eastAsia="Times New Roman" w:hAnsi="Times New Roman" w:cs="Times New Roman"/>
                <w:sz w:val="20"/>
                <w:szCs w:val="20"/>
                <w:lang w:eastAsia="pl-PL"/>
              </w:rPr>
              <w:t xml:space="preserve"> (ewentualnie </w:t>
            </w:r>
            <w:proofErr w:type="spellStart"/>
            <w:r w:rsidRPr="00015CAA">
              <w:rPr>
                <w:rFonts w:ascii="Times New Roman" w:eastAsia="Times New Roman" w:hAnsi="Times New Roman" w:cs="Times New Roman"/>
                <w:sz w:val="20"/>
                <w:szCs w:val="20"/>
                <w:lang w:eastAsia="pl-PL"/>
              </w:rPr>
              <w:t>hydroksychlorochiny</w:t>
            </w:r>
            <w:proofErr w:type="spellEnd"/>
            <w:r w:rsidRPr="00015CAA">
              <w:rPr>
                <w:rFonts w:ascii="Times New Roman" w:eastAsia="Times New Roman" w:hAnsi="Times New Roman" w:cs="Times New Roman"/>
                <w:sz w:val="20"/>
                <w:szCs w:val="20"/>
                <w:lang w:eastAsia="pl-PL"/>
              </w:rPr>
              <w:t xml:space="preserve">) 4 - 6 mg/kg </w:t>
            </w:r>
            <w:proofErr w:type="spellStart"/>
            <w:r w:rsidRPr="00015CAA">
              <w:rPr>
                <w:rFonts w:ascii="Times New Roman" w:eastAsia="Times New Roman" w:hAnsi="Times New Roman" w:cs="Times New Roman"/>
                <w:sz w:val="20"/>
                <w:szCs w:val="20"/>
                <w:lang w:eastAsia="pl-PL"/>
              </w:rPr>
              <w:t>m.c</w:t>
            </w:r>
            <w:proofErr w:type="spellEnd"/>
            <w:r w:rsidRPr="00015CAA">
              <w:rPr>
                <w:rFonts w:ascii="Times New Roman" w:eastAsia="Times New Roman" w:hAnsi="Times New Roman" w:cs="Times New Roman"/>
                <w:sz w:val="20"/>
                <w:szCs w:val="20"/>
                <w:lang w:eastAsia="pl-PL"/>
              </w:rPr>
              <w:t xml:space="preserve">./dobę, jeżeli leczenie jest dobrze tolerowane. </w:t>
            </w:r>
          </w:p>
          <w:p w:rsidR="007A01C9" w:rsidRPr="00015CAA" w:rsidRDefault="007A01C9" w:rsidP="003D77A0">
            <w:pPr>
              <w:numPr>
                <w:ilvl w:val="0"/>
                <w:numId w:val="20"/>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W przypadku miesiączkujących dziewcząt wymagana jest zgoda na świadomą kontrolę urodzeń w czasie leczenia i do 6 miesięcy po zastosowaniu ostatniej dawki </w:t>
            </w:r>
            <w:proofErr w:type="spellStart"/>
            <w:r w:rsidRPr="00015CAA">
              <w:rPr>
                <w:rFonts w:ascii="Times New Roman" w:eastAsia="Times New Roman" w:hAnsi="Times New Roman" w:cs="Times New Roman"/>
                <w:sz w:val="20"/>
                <w:szCs w:val="20"/>
                <w:lang w:eastAsia="pl-PL"/>
              </w:rPr>
              <w:t>etanerceptu</w:t>
            </w:r>
            <w:proofErr w:type="spellEnd"/>
            <w:r w:rsidRPr="00015CAA">
              <w:rPr>
                <w:rFonts w:ascii="Times New Roman" w:eastAsia="Times New Roman" w:hAnsi="Times New Roman" w:cs="Times New Roman"/>
                <w:sz w:val="20"/>
                <w:szCs w:val="20"/>
                <w:lang w:eastAsia="pl-PL"/>
              </w:rPr>
              <w:t xml:space="preserve"> albo </w:t>
            </w:r>
            <w:proofErr w:type="spellStart"/>
            <w:r w:rsidRPr="00015CAA">
              <w:rPr>
                <w:rFonts w:ascii="Times New Roman" w:eastAsia="Times New Roman" w:hAnsi="Times New Roman" w:cs="Times New Roman"/>
                <w:sz w:val="20"/>
                <w:szCs w:val="20"/>
                <w:lang w:eastAsia="pl-PL"/>
              </w:rPr>
              <w:t>adalimumabu</w:t>
            </w:r>
            <w:proofErr w:type="spellEnd"/>
            <w:r w:rsidRPr="00015CAA">
              <w:rPr>
                <w:rFonts w:ascii="Times New Roman" w:eastAsia="Times New Roman" w:hAnsi="Times New Roman" w:cs="Times New Roman"/>
                <w:sz w:val="20"/>
                <w:szCs w:val="20"/>
                <w:lang w:eastAsia="pl-PL"/>
              </w:rPr>
              <w:t>, albo do 3 miesięcy po</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pl-PL"/>
              </w:rPr>
              <w:t xml:space="preserve">zastosowaniu ostatniej dawki  </w:t>
            </w:r>
            <w:proofErr w:type="spellStart"/>
            <w:r w:rsidRPr="00015CAA">
              <w:rPr>
                <w:rFonts w:ascii="Times New Roman" w:eastAsia="Times New Roman" w:hAnsi="Times New Roman" w:cs="Times New Roman"/>
                <w:sz w:val="20"/>
                <w:szCs w:val="20"/>
                <w:lang w:eastAsia="pl-PL"/>
              </w:rPr>
              <w:t>tocilizumabu</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spacing w:after="0"/>
              <w:rPr>
                <w:rFonts w:ascii="Times New Roman" w:eastAsia="Times New Roman" w:hAnsi="Times New Roman" w:cs="Times New Roman"/>
                <w:sz w:val="20"/>
                <w:szCs w:val="20"/>
                <w:lang w:eastAsia="pl-PL"/>
              </w:rPr>
            </w:pPr>
          </w:p>
          <w:p w:rsidR="007A01C9" w:rsidRPr="00015CAA" w:rsidRDefault="007A01C9" w:rsidP="003D77A0">
            <w:pPr>
              <w:numPr>
                <w:ilvl w:val="0"/>
                <w:numId w:val="19"/>
              </w:numPr>
              <w:tabs>
                <w:tab w:val="left" w:pos="0"/>
              </w:tabs>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Kryteria stanowiące przeciwwskazania do kwalifikacji do programu:</w:t>
            </w:r>
          </w:p>
          <w:p w:rsidR="007A01C9" w:rsidRPr="00015CAA" w:rsidRDefault="007A01C9" w:rsidP="003D77A0">
            <w:pPr>
              <w:tabs>
                <w:tab w:val="left" w:pos="0"/>
              </w:tabs>
              <w:spacing w:after="0"/>
              <w:rPr>
                <w:rFonts w:ascii="Times New Roman" w:eastAsia="Times New Roman" w:hAnsi="Times New Roman" w:cs="Times New Roman"/>
                <w:b/>
                <w:sz w:val="20"/>
                <w:szCs w:val="20"/>
                <w:lang w:eastAsia="pl-PL"/>
              </w:rPr>
            </w:pP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ciąża lub laktacja;</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nadwrażliwość na substancję czynną lub pomocniczą;</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aktywne, ciężkie zakażenia wirusowe, bakteryjne, grzybicze lub </w:t>
            </w:r>
            <w:proofErr w:type="spellStart"/>
            <w:r w:rsidRPr="00015CAA">
              <w:rPr>
                <w:rFonts w:ascii="Times New Roman" w:eastAsia="Times New Roman" w:hAnsi="Times New Roman" w:cs="Times New Roman"/>
                <w:sz w:val="20"/>
                <w:szCs w:val="20"/>
                <w:lang w:eastAsia="pl-PL"/>
              </w:rPr>
              <w:t>pierwotniakowe</w:t>
            </w:r>
            <w:proofErr w:type="spellEnd"/>
            <w:r w:rsidRPr="00015CAA">
              <w:rPr>
                <w:rFonts w:ascii="Times New Roman" w:eastAsia="Times New Roman" w:hAnsi="Times New Roman" w:cs="Times New Roman"/>
                <w:sz w:val="20"/>
                <w:szCs w:val="20"/>
                <w:lang w:eastAsia="pl-PL"/>
              </w:rPr>
              <w:t xml:space="preserve"> (w szczególności: gruźlica, WZW typu B lub C);</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przebyte w ciągu ostatnich 3 miesięcy:</w:t>
            </w:r>
          </w:p>
          <w:p w:rsidR="007A01C9" w:rsidRPr="00015CAA" w:rsidRDefault="007A01C9" w:rsidP="003D77A0">
            <w:pPr>
              <w:numPr>
                <w:ilvl w:val="0"/>
                <w:numId w:val="22"/>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zapalenie wątroby,</w:t>
            </w:r>
          </w:p>
          <w:p w:rsidR="007A01C9" w:rsidRPr="00015CAA" w:rsidRDefault="007A01C9" w:rsidP="003D77A0">
            <w:pPr>
              <w:numPr>
                <w:ilvl w:val="0"/>
                <w:numId w:val="22"/>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zapalenie płuc,</w:t>
            </w:r>
          </w:p>
          <w:p w:rsidR="007A01C9" w:rsidRPr="00015CAA" w:rsidRDefault="007A01C9" w:rsidP="003D77A0">
            <w:pPr>
              <w:numPr>
                <w:ilvl w:val="0"/>
                <w:numId w:val="22"/>
              </w:numPr>
              <w:spacing w:after="0"/>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odmiedniczkowe</w:t>
            </w:r>
            <w:proofErr w:type="spellEnd"/>
            <w:r w:rsidRPr="00015CAA">
              <w:rPr>
                <w:rFonts w:ascii="Times New Roman" w:eastAsia="Times New Roman" w:hAnsi="Times New Roman" w:cs="Times New Roman"/>
                <w:sz w:val="20"/>
                <w:szCs w:val="20"/>
                <w:lang w:eastAsia="pl-PL"/>
              </w:rPr>
              <w:t xml:space="preserve"> zapalenie nerek</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przebyte  w ciągu ostatnich 3 miesięcy choroby wywołane przez :</w:t>
            </w:r>
          </w:p>
          <w:p w:rsidR="007A01C9" w:rsidRPr="00015CAA" w:rsidRDefault="007A01C9" w:rsidP="003D77A0">
            <w:pPr>
              <w:numPr>
                <w:ilvl w:val="0"/>
                <w:numId w:val="23"/>
              </w:numPr>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wirus cytomegalii,</w:t>
            </w:r>
          </w:p>
          <w:p w:rsidR="007A01C9" w:rsidRPr="00015CAA" w:rsidRDefault="007A01C9" w:rsidP="003D77A0">
            <w:pPr>
              <w:numPr>
                <w:ilvl w:val="0"/>
                <w:numId w:val="23"/>
              </w:numPr>
              <w:spacing w:after="0"/>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Pneumocystis</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jiroveci</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carini</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23"/>
              </w:numPr>
              <w:spacing w:after="0"/>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Mycobacterium</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tuberculosis</w:t>
            </w:r>
            <w:proofErr w:type="spellEnd"/>
            <w:r w:rsidRPr="00015CAA">
              <w:rPr>
                <w:rFonts w:ascii="Times New Roman" w:eastAsia="Times New Roman" w:hAnsi="Times New Roman" w:cs="Times New Roman"/>
                <w:sz w:val="20"/>
                <w:szCs w:val="20"/>
                <w:lang w:eastAsia="pl-PL"/>
              </w:rPr>
              <w:t xml:space="preserve"> lub inne lekooporne </w:t>
            </w:r>
            <w:proofErr w:type="spellStart"/>
            <w:r w:rsidRPr="00015CAA">
              <w:rPr>
                <w:rFonts w:ascii="Times New Roman" w:eastAsia="Times New Roman" w:hAnsi="Times New Roman" w:cs="Times New Roman"/>
                <w:sz w:val="20"/>
                <w:szCs w:val="20"/>
                <w:lang w:eastAsia="pl-PL"/>
              </w:rPr>
              <w:t>mykobakterie</w:t>
            </w:r>
            <w:proofErr w:type="spellEnd"/>
            <w:r w:rsidRPr="00015CAA">
              <w:rPr>
                <w:rFonts w:ascii="Times New Roman" w:eastAsia="Times New Roman" w:hAnsi="Times New Roman" w:cs="Times New Roman"/>
                <w:sz w:val="20"/>
                <w:szCs w:val="20"/>
                <w:lang w:eastAsia="pl-PL"/>
              </w:rPr>
              <w:t xml:space="preserve"> </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infekcja HIV;</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niewydolność serca, płuc, nerek lub wątroby  - wg decyzji lekarza prowadzącego;</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choroby demielinizacyjne;</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pancytopenia i niedokrwistość </w:t>
            </w:r>
            <w:proofErr w:type="spellStart"/>
            <w:r w:rsidRPr="00015CAA">
              <w:rPr>
                <w:rFonts w:ascii="Times New Roman" w:eastAsia="Times New Roman" w:hAnsi="Times New Roman" w:cs="Times New Roman"/>
                <w:sz w:val="20"/>
                <w:szCs w:val="20"/>
                <w:lang w:eastAsia="pl-PL"/>
              </w:rPr>
              <w:t>aplastyczna</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stany przedrakowe, czynna choroba nowotworowa lub </w:t>
            </w:r>
            <w:r w:rsidRPr="00015CAA">
              <w:rPr>
                <w:rFonts w:ascii="Times New Roman" w:eastAsia="Times New Roman" w:hAnsi="Times New Roman" w:cs="Times New Roman"/>
                <w:sz w:val="20"/>
                <w:szCs w:val="20"/>
                <w:lang w:eastAsia="pl-PL"/>
              </w:rPr>
              <w:lastRenderedPageBreak/>
              <w:t xml:space="preserve">choroba nowotworowa, której leczenie zakończono  w ciągu ostatnich 5 lat; </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aktywna przewlekła choroba wątroby;</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aktywność </w:t>
            </w:r>
            <w:proofErr w:type="spellStart"/>
            <w:r w:rsidRPr="00015CAA">
              <w:rPr>
                <w:rFonts w:ascii="Times New Roman" w:eastAsia="Times New Roman" w:hAnsi="Times New Roman" w:cs="Times New Roman"/>
                <w:sz w:val="20"/>
                <w:szCs w:val="20"/>
                <w:lang w:eastAsia="pl-PL"/>
              </w:rPr>
              <w:t>AlAT</w:t>
            </w:r>
            <w:proofErr w:type="spellEnd"/>
            <w:r w:rsidRPr="00015CAA">
              <w:rPr>
                <w:rFonts w:ascii="Times New Roman" w:eastAsia="Times New Roman" w:hAnsi="Times New Roman" w:cs="Times New Roman"/>
                <w:sz w:val="20"/>
                <w:szCs w:val="20"/>
                <w:lang w:eastAsia="pl-PL"/>
              </w:rPr>
              <w:t xml:space="preserve"> lub </w:t>
            </w:r>
            <w:proofErr w:type="spellStart"/>
            <w:r w:rsidRPr="00015CAA">
              <w:rPr>
                <w:rFonts w:ascii="Times New Roman" w:eastAsia="Times New Roman" w:hAnsi="Times New Roman" w:cs="Times New Roman"/>
                <w:sz w:val="20"/>
                <w:szCs w:val="20"/>
                <w:lang w:eastAsia="pl-PL"/>
              </w:rPr>
              <w:t>AspAT</w:t>
            </w:r>
            <w:proofErr w:type="spellEnd"/>
            <w:r w:rsidRPr="00015CAA">
              <w:rPr>
                <w:rFonts w:ascii="Times New Roman" w:eastAsia="Times New Roman" w:hAnsi="Times New Roman" w:cs="Times New Roman"/>
                <w:sz w:val="20"/>
                <w:szCs w:val="20"/>
                <w:lang w:eastAsia="pl-PL"/>
              </w:rPr>
              <w:t xml:space="preserve"> jest większa niż 5 razy powyżej normy – dotyczy terapii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bezwzględna liczba granulocytów obojętnochłonnych jest mniejsza niż 2 x10</w:t>
            </w:r>
            <w:r w:rsidRPr="00015CAA">
              <w:rPr>
                <w:rFonts w:ascii="Times New Roman" w:eastAsia="Times New Roman" w:hAnsi="Times New Roman" w:cs="Times New Roman"/>
                <w:sz w:val="20"/>
                <w:szCs w:val="20"/>
                <w:vertAlign w:val="superscript"/>
                <w:lang w:eastAsia="pl-PL"/>
              </w:rPr>
              <w:t>9</w:t>
            </w:r>
            <w:r w:rsidRPr="00015CAA">
              <w:rPr>
                <w:rFonts w:ascii="Times New Roman" w:eastAsia="Times New Roman" w:hAnsi="Times New Roman" w:cs="Times New Roman"/>
                <w:sz w:val="20"/>
                <w:szCs w:val="20"/>
                <w:lang w:eastAsia="pl-PL"/>
              </w:rPr>
              <w:t xml:space="preserve">/l – dotyczy terapii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21"/>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inne okoliczności dyskwalifikujące do leczenia inhibitorami TNF alfa lub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 wg decyzji lekarza prowadzącego. </w:t>
            </w:r>
          </w:p>
          <w:p w:rsidR="007A01C9" w:rsidRPr="00015CAA" w:rsidRDefault="007A01C9" w:rsidP="003D77A0">
            <w:pPr>
              <w:spacing w:after="0"/>
              <w:rPr>
                <w:rFonts w:ascii="Times New Roman" w:eastAsia="Times New Roman" w:hAnsi="Times New Roman" w:cs="Times New Roman"/>
                <w:sz w:val="20"/>
                <w:szCs w:val="20"/>
                <w:lang w:eastAsia="pl-PL"/>
              </w:rPr>
            </w:pPr>
          </w:p>
          <w:p w:rsidR="007A01C9" w:rsidRPr="00015CAA" w:rsidRDefault="007A01C9" w:rsidP="003D77A0">
            <w:pPr>
              <w:numPr>
                <w:ilvl w:val="0"/>
                <w:numId w:val="19"/>
              </w:numPr>
              <w:tabs>
                <w:tab w:val="left" w:pos="0"/>
                <w:tab w:val="num" w:pos="1440"/>
              </w:tabs>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Czas leczenia w programie:</w:t>
            </w:r>
          </w:p>
          <w:p w:rsidR="007A01C9" w:rsidRPr="00015CAA" w:rsidRDefault="007A01C9" w:rsidP="003D77A0">
            <w:pPr>
              <w:tabs>
                <w:tab w:val="left" w:pos="0"/>
              </w:tabs>
              <w:spacing w:after="0"/>
              <w:ind w:left="357"/>
              <w:rPr>
                <w:rFonts w:ascii="Times New Roman" w:eastAsia="Times New Roman" w:hAnsi="Times New Roman" w:cs="Times New Roman"/>
                <w:b/>
                <w:sz w:val="20"/>
                <w:szCs w:val="20"/>
                <w:lang w:eastAsia="pl-PL"/>
              </w:rPr>
            </w:pPr>
          </w:p>
          <w:p w:rsidR="007A01C9" w:rsidRPr="00015CAA" w:rsidRDefault="007A01C9" w:rsidP="003D77A0">
            <w:pPr>
              <w:numPr>
                <w:ilvl w:val="0"/>
                <w:numId w:val="24"/>
              </w:numPr>
              <w:tabs>
                <w:tab w:val="left" w:pos="0"/>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Kryteria kwalifikacji i wyłączenia z programu określają czas leczenia w programie. </w:t>
            </w:r>
          </w:p>
          <w:p w:rsidR="007A01C9" w:rsidRPr="00015CAA" w:rsidRDefault="007A01C9" w:rsidP="003D77A0">
            <w:pPr>
              <w:numPr>
                <w:ilvl w:val="0"/>
                <w:numId w:val="24"/>
              </w:numPr>
              <w:tabs>
                <w:tab w:val="left" w:pos="0"/>
              </w:tabs>
              <w:suppressAutoHyphens/>
              <w:spacing w:after="0"/>
              <w:ind w:left="357" w:hanging="357"/>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pl-PL"/>
              </w:rPr>
              <w:t>Czas leczenia daną substancją czynną w programie nie może być dłuższy jak 24 miesiące, z zastrzeżeniem ust 5 </w:t>
            </w:r>
            <w:proofErr w:type="spellStart"/>
            <w:r w:rsidRPr="00015CAA">
              <w:rPr>
                <w:rFonts w:ascii="Times New Roman" w:eastAsia="Times New Roman" w:hAnsi="Times New Roman" w:cs="Times New Roman"/>
                <w:sz w:val="20"/>
                <w:szCs w:val="20"/>
                <w:lang w:eastAsia="pl-PL"/>
              </w:rPr>
              <w:t>pkt</w:t>
            </w:r>
            <w:proofErr w:type="spellEnd"/>
            <w:r w:rsidRPr="00015CAA">
              <w:rPr>
                <w:rFonts w:ascii="Times New Roman" w:eastAsia="Times New Roman" w:hAnsi="Times New Roman" w:cs="Times New Roman"/>
                <w:sz w:val="20"/>
                <w:szCs w:val="20"/>
                <w:lang w:eastAsia="pl-PL"/>
              </w:rPr>
              <w:t xml:space="preserve"> 1w części dotyczącej MIZS niniejszego programu. </w:t>
            </w:r>
            <w:r w:rsidRPr="00015CAA">
              <w:rPr>
                <w:rFonts w:ascii="Times New Roman" w:eastAsia="Times New Roman" w:hAnsi="Times New Roman" w:cs="Times New Roman"/>
                <w:sz w:val="20"/>
                <w:szCs w:val="20"/>
                <w:lang w:eastAsia="ar-SA"/>
              </w:rPr>
              <w:t xml:space="preserve"> </w:t>
            </w:r>
          </w:p>
          <w:p w:rsidR="007A01C9" w:rsidRPr="00015CAA" w:rsidRDefault="007A01C9" w:rsidP="003D77A0">
            <w:pPr>
              <w:numPr>
                <w:ilvl w:val="0"/>
                <w:numId w:val="24"/>
              </w:numPr>
              <w:tabs>
                <w:tab w:val="left" w:pos="0"/>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Pacjent będący w trakcie terapii, który ukończył 18 rok życia może kontynuować terapię  w pediatrycznym ośrodku realizującym program lekowy dotyczący leczenia MIZS do czasu jej ukończenia, jednak nie dłużej niż do ukończenia 20 roku życia, po uzyskaniu indywidualnej zgody Dyrektora Oddziału Wojewódzkiego NFZ. Alternatywnie pacjent, będący w trakcie terapii, który ukończył 18 rok życia może kontynuować terapię, w zależności od obrazu klinicznego choroby, w ośrodkach realizujących programy lekowe dotyczące leczenia RZS, ZZSK albo ŁZS.</w:t>
            </w:r>
          </w:p>
          <w:p w:rsidR="007A01C9" w:rsidRPr="00015CAA" w:rsidRDefault="007A01C9" w:rsidP="003D77A0">
            <w:pPr>
              <w:tabs>
                <w:tab w:val="left" w:pos="0"/>
              </w:tabs>
              <w:spacing w:after="0"/>
              <w:rPr>
                <w:rFonts w:ascii="Times New Roman" w:eastAsia="Times New Roman" w:hAnsi="Times New Roman" w:cs="Times New Roman"/>
                <w:sz w:val="20"/>
                <w:szCs w:val="20"/>
                <w:lang w:eastAsia="pl-PL"/>
              </w:rPr>
            </w:pPr>
          </w:p>
          <w:p w:rsidR="007A01C9" w:rsidRPr="00015CAA" w:rsidRDefault="00DD0C1F" w:rsidP="003D77A0">
            <w:pPr>
              <w:widowControl w:val="0"/>
              <w:numPr>
                <w:ilvl w:val="0"/>
                <w:numId w:val="19"/>
              </w:numPr>
              <w:tabs>
                <w:tab w:val="num" w:pos="0"/>
              </w:tabs>
              <w:autoSpaceDE w:val="0"/>
              <w:autoSpaceDN w:val="0"/>
              <w:adjustRightInd w:val="0"/>
              <w:spacing w:after="0"/>
              <w:ind w:left="357" w:hanging="357"/>
              <w:rPr>
                <w:rFonts w:ascii="Times New Roman" w:eastAsia="Times New Roman" w:hAnsi="Times New Roman" w:cs="Times New Roman"/>
                <w:b/>
                <w:sz w:val="20"/>
                <w:szCs w:val="20"/>
                <w:lang w:eastAsia="pl-PL"/>
              </w:rPr>
            </w:pPr>
            <w:r w:rsidRPr="00DD0C1F">
              <w:rPr>
                <w:rFonts w:ascii="Calibri" w:eastAsia="Calibri" w:hAnsi="Calibri" w:cs="Times New Roman"/>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523.2pt;margin-top:-3.25pt;width:.4pt;height:5.05pt;z-index:251659264;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" stroked="f">
                  <v:fill opacity="0"/>
                  <v:textbox inset="0,0,0,0">
                    <w:txbxContent>
                      <w:p w:rsidR="007A01C9" w:rsidRDefault="007A01C9" w:rsidP="007A01C9">
                        <w:pPr>
                          <w:jc w:val="both"/>
                        </w:pPr>
                      </w:p>
                    </w:txbxContent>
                  </v:textbox>
                  <w10:wrap type="square" side="largest" anchorx="page"/>
                </v:shape>
              </w:pict>
            </w:r>
            <w:r w:rsidRPr="00DD0C1F">
              <w:rPr>
                <w:rFonts w:ascii="Calibri" w:eastAsia="Calibri" w:hAnsi="Calibri" w:cs="Times New Roman"/>
                <w:noProof/>
                <w:lang w:eastAsia="pl-PL"/>
              </w:rPr>
              <w:pict>
                <v:shape id="Pole tekstowe 1" o:spid="_x0000_s1027" type="#_x0000_t202" style="position:absolute;left:0;text-align:left;margin-left:523.2pt;margin-top:-3.25pt;width:.4pt;height:5.05pt;z-index:251660288;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" stroked="f">
                  <v:fill opacity="0"/>
                  <v:textbox inset="0,0,0,0">
                    <w:txbxContent>
                      <w:p w:rsidR="007A01C9" w:rsidRDefault="007A01C9" w:rsidP="007A01C9">
                        <w:pPr>
                          <w:jc w:val="both"/>
                        </w:pPr>
                      </w:p>
                    </w:txbxContent>
                  </v:textbox>
                  <w10:wrap type="square" side="largest" anchorx="page"/>
                </v:shape>
              </w:pict>
            </w:r>
            <w:r w:rsidR="007A01C9" w:rsidRPr="00015CAA">
              <w:rPr>
                <w:rFonts w:ascii="Times New Roman" w:eastAsia="Times New Roman" w:hAnsi="Times New Roman" w:cs="Times New Roman"/>
                <w:b/>
                <w:sz w:val="20"/>
                <w:szCs w:val="20"/>
                <w:lang w:eastAsia="pl-PL"/>
              </w:rPr>
              <w:t>Kryteria wyłączenia z programu:</w:t>
            </w:r>
          </w:p>
          <w:p w:rsidR="007A01C9" w:rsidRPr="00015CAA" w:rsidRDefault="007A01C9" w:rsidP="003D77A0">
            <w:pPr>
              <w:widowControl w:val="0"/>
              <w:autoSpaceDE w:val="0"/>
              <w:autoSpaceDN w:val="0"/>
              <w:adjustRightInd w:val="0"/>
              <w:spacing w:after="0"/>
              <w:ind w:left="357"/>
              <w:rPr>
                <w:rFonts w:ascii="Times New Roman" w:eastAsia="Times New Roman" w:hAnsi="Times New Roman" w:cs="Times New Roman"/>
                <w:b/>
                <w:sz w:val="20"/>
                <w:szCs w:val="20"/>
                <w:lang w:eastAsia="pl-PL"/>
              </w:rPr>
            </w:pPr>
          </w:p>
          <w:p w:rsidR="007A01C9" w:rsidRPr="00015CAA" w:rsidRDefault="007A01C9" w:rsidP="003D77A0">
            <w:pPr>
              <w:numPr>
                <w:ilvl w:val="0"/>
                <w:numId w:val="39"/>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Brak adekwatnej odpowiedzi na leczenie, stwierdzony po 3 </w:t>
            </w:r>
            <w:r w:rsidRPr="00015CAA">
              <w:rPr>
                <w:rFonts w:ascii="Times New Roman" w:eastAsia="Times New Roman" w:hAnsi="Times New Roman" w:cs="Times New Roman"/>
                <w:sz w:val="20"/>
                <w:szCs w:val="20"/>
                <w:lang w:eastAsia="pl-PL"/>
              </w:rPr>
              <w:lastRenderedPageBreak/>
              <w:t xml:space="preserve">miesiącach terapii daną substancją czynną. </w:t>
            </w:r>
          </w:p>
          <w:p w:rsidR="007A01C9" w:rsidRPr="00015CAA" w:rsidRDefault="007A01C9" w:rsidP="003D77A0">
            <w:pPr>
              <w:numPr>
                <w:ilvl w:val="0"/>
                <w:numId w:val="39"/>
              </w:numPr>
              <w:suppressAutoHyphens/>
              <w:spacing w:after="0"/>
              <w:ind w:left="357" w:hanging="357"/>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pl-PL"/>
              </w:rPr>
              <w:t xml:space="preserve">Utrata adekwatnej odpowiedzi na leczenie stwierdzona po kolejnych 3 miesiącach, a następnie każdych kolejnych 6 miesiącach. </w:t>
            </w:r>
          </w:p>
          <w:p w:rsidR="007A01C9" w:rsidRPr="00015CAA" w:rsidRDefault="007A01C9" w:rsidP="003D77A0">
            <w:pPr>
              <w:numPr>
                <w:ilvl w:val="0"/>
                <w:numId w:val="39"/>
              </w:numPr>
              <w:suppressAutoHyphens/>
              <w:spacing w:after="0"/>
              <w:ind w:left="357" w:hanging="357"/>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Nie spełnienie poniższych kryteriów bardzo dobrej odpowiedzi na leczenie (cel terapii) w czasie pierwszych 12 miesięcy leczenia:</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ilość obrzękniętych stawów – 1 lub mniej,</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ilość stawów z ograniczoną ruchomością (z wyłączeniem stawów, w których stwierdzano utrwalone zmiany destrukcyjne przed włączeniem leczenia biologicznego) – 1 lub mniej,</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ocena aktywności choroby dokonana przez lekarza– nie więcej niż 2 na dziesięciostopniowej skali VAS,</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ocena samopoczucia pacjenta, dokonana przez pacjenta lub jego opiekuna – nie więcej niż 2 na dziesięciostopniowej skali VAS,</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brak gorączki, wysypek, zapalenia błon surowiczych, powiększenia śledziony, uogólnionej limfadenopatii – dotyczy pacjentów z układową postacią MIZS,</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brak zapalenia błony naczyniowej oka,</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wartość OB. oraz CRP – mieszczące się w granicach normy dla danego laboratorium (z wyłączeniem podwyższonych wartości wynikających z innych przyczyn niż MIZS),</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wskaźnik stanu funkcjonalnego dziecka (CHAQ) – nie więcej niż 1,</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czas trwania sztywności porannej – nie dłużej niż 15 minut,</w:t>
            </w:r>
          </w:p>
          <w:p w:rsidR="007A01C9" w:rsidRPr="00015CAA" w:rsidRDefault="007A01C9" w:rsidP="003D77A0">
            <w:pPr>
              <w:numPr>
                <w:ilvl w:val="0"/>
                <w:numId w:val="40"/>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prawidłowy rozwój dziecka wg lekarza prowadzącego.</w:t>
            </w:r>
          </w:p>
          <w:p w:rsidR="007A01C9" w:rsidRPr="00015CAA" w:rsidRDefault="007A01C9" w:rsidP="003D77A0">
            <w:pPr>
              <w:suppressAutoHyphens/>
              <w:spacing w:after="0"/>
              <w:ind w:left="720"/>
              <w:rPr>
                <w:rFonts w:ascii="Times New Roman" w:eastAsia="Times New Roman" w:hAnsi="Times New Roman" w:cs="Times New Roman"/>
                <w:sz w:val="20"/>
                <w:szCs w:val="20"/>
                <w:lang w:eastAsia="ar-SA"/>
              </w:rPr>
            </w:pPr>
          </w:p>
          <w:p w:rsidR="007A01C9" w:rsidRPr="00015CAA" w:rsidRDefault="007A01C9" w:rsidP="003D77A0">
            <w:pPr>
              <w:numPr>
                <w:ilvl w:val="0"/>
                <w:numId w:val="39"/>
              </w:numPr>
              <w:suppressAutoHyphens/>
              <w:spacing w:after="0"/>
              <w:ind w:left="357" w:hanging="357"/>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Wystąpienie działań niepożądanych, takich jak:</w:t>
            </w:r>
          </w:p>
          <w:p w:rsidR="007A01C9" w:rsidRPr="00015CAA" w:rsidRDefault="007A01C9" w:rsidP="003D77A0">
            <w:pPr>
              <w:numPr>
                <w:ilvl w:val="0"/>
                <w:numId w:val="25"/>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 xml:space="preserve">reakcja alergiczna na substancję czynną lub substancję </w:t>
            </w:r>
            <w:r w:rsidRPr="00015CAA">
              <w:rPr>
                <w:rFonts w:ascii="Times New Roman" w:eastAsia="Times New Roman" w:hAnsi="Times New Roman" w:cs="Times New Roman"/>
                <w:sz w:val="20"/>
                <w:szCs w:val="20"/>
                <w:lang w:eastAsia="ar-SA"/>
              </w:rPr>
              <w:lastRenderedPageBreak/>
              <w:t>pomocniczą,</w:t>
            </w:r>
          </w:p>
          <w:p w:rsidR="007A01C9" w:rsidRPr="00015CAA" w:rsidRDefault="007A01C9" w:rsidP="003D77A0">
            <w:pPr>
              <w:numPr>
                <w:ilvl w:val="0"/>
                <w:numId w:val="25"/>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 xml:space="preserve">zakażenie o ciężkim przebiegu, </w:t>
            </w:r>
          </w:p>
          <w:p w:rsidR="007A01C9" w:rsidRPr="00015CAA" w:rsidRDefault="007A01C9" w:rsidP="003D77A0">
            <w:pPr>
              <w:numPr>
                <w:ilvl w:val="0"/>
                <w:numId w:val="25"/>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 xml:space="preserve">wystąpienie bądź nasilenie się objawów niewydolności serca, płuc, nerek, wątroby, </w:t>
            </w:r>
          </w:p>
          <w:p w:rsidR="007A01C9" w:rsidRPr="00015CAA" w:rsidRDefault="007A01C9" w:rsidP="003D77A0">
            <w:pPr>
              <w:numPr>
                <w:ilvl w:val="0"/>
                <w:numId w:val="25"/>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 xml:space="preserve">pancytopenia i niedokrwistość </w:t>
            </w:r>
            <w:proofErr w:type="spellStart"/>
            <w:r w:rsidRPr="00015CAA">
              <w:rPr>
                <w:rFonts w:ascii="Times New Roman" w:eastAsia="Times New Roman" w:hAnsi="Times New Roman" w:cs="Times New Roman"/>
                <w:sz w:val="20"/>
                <w:szCs w:val="20"/>
                <w:lang w:eastAsia="ar-SA"/>
              </w:rPr>
              <w:t>aplastyczna</w:t>
            </w:r>
            <w:proofErr w:type="spellEnd"/>
            <w:r w:rsidRPr="00015CAA">
              <w:rPr>
                <w:rFonts w:ascii="Times New Roman" w:eastAsia="Times New Roman" w:hAnsi="Times New Roman" w:cs="Times New Roman"/>
                <w:sz w:val="20"/>
                <w:szCs w:val="20"/>
                <w:lang w:eastAsia="ar-SA"/>
              </w:rPr>
              <w:t xml:space="preserve">, </w:t>
            </w:r>
          </w:p>
          <w:p w:rsidR="007A01C9" w:rsidRPr="00015CAA" w:rsidRDefault="007A01C9" w:rsidP="003D77A0">
            <w:pPr>
              <w:numPr>
                <w:ilvl w:val="0"/>
                <w:numId w:val="25"/>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choroba nowotworowa,</w:t>
            </w:r>
          </w:p>
          <w:p w:rsidR="007A01C9" w:rsidRPr="00015CAA" w:rsidRDefault="007A01C9" w:rsidP="003D77A0">
            <w:pPr>
              <w:numPr>
                <w:ilvl w:val="0"/>
                <w:numId w:val="25"/>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 xml:space="preserve">utrzymywanie się w kolejnych oznaczeniach co 4 tygodnie aktywności </w:t>
            </w:r>
            <w:proofErr w:type="spellStart"/>
            <w:r w:rsidRPr="00015CAA">
              <w:rPr>
                <w:rFonts w:ascii="Times New Roman" w:eastAsia="Times New Roman" w:hAnsi="Times New Roman" w:cs="Times New Roman"/>
                <w:sz w:val="20"/>
                <w:szCs w:val="20"/>
                <w:lang w:eastAsia="ar-SA"/>
              </w:rPr>
              <w:t>AlAT</w:t>
            </w:r>
            <w:proofErr w:type="spellEnd"/>
            <w:r w:rsidRPr="00015CAA">
              <w:rPr>
                <w:rFonts w:ascii="Times New Roman" w:eastAsia="Times New Roman" w:hAnsi="Times New Roman" w:cs="Times New Roman"/>
                <w:sz w:val="20"/>
                <w:szCs w:val="20"/>
                <w:lang w:eastAsia="ar-SA"/>
              </w:rPr>
              <w:t xml:space="preserve"> lub </w:t>
            </w:r>
            <w:proofErr w:type="spellStart"/>
            <w:r w:rsidRPr="00015CAA">
              <w:rPr>
                <w:rFonts w:ascii="Times New Roman" w:eastAsia="Times New Roman" w:hAnsi="Times New Roman" w:cs="Times New Roman"/>
                <w:sz w:val="20"/>
                <w:szCs w:val="20"/>
                <w:lang w:eastAsia="ar-SA"/>
              </w:rPr>
              <w:t>AspAT</w:t>
            </w:r>
            <w:proofErr w:type="spellEnd"/>
            <w:r w:rsidRPr="00015CAA">
              <w:rPr>
                <w:rFonts w:ascii="Times New Roman" w:eastAsia="Times New Roman" w:hAnsi="Times New Roman" w:cs="Times New Roman"/>
                <w:sz w:val="20"/>
                <w:szCs w:val="20"/>
                <w:lang w:eastAsia="ar-SA"/>
              </w:rPr>
              <w:t xml:space="preserve">  większej niż 3 razy powyżej górnej granicy normy lub po jednorazowym stwierdzeniu aktywności  </w:t>
            </w:r>
            <w:proofErr w:type="spellStart"/>
            <w:r w:rsidRPr="00015CAA">
              <w:rPr>
                <w:rFonts w:ascii="Times New Roman" w:eastAsia="Times New Roman" w:hAnsi="Times New Roman" w:cs="Times New Roman"/>
                <w:sz w:val="20"/>
                <w:szCs w:val="20"/>
                <w:lang w:eastAsia="ar-SA"/>
              </w:rPr>
              <w:t>AlAT</w:t>
            </w:r>
            <w:proofErr w:type="spellEnd"/>
            <w:r w:rsidRPr="00015CAA">
              <w:rPr>
                <w:rFonts w:ascii="Times New Roman" w:eastAsia="Times New Roman" w:hAnsi="Times New Roman" w:cs="Times New Roman"/>
                <w:sz w:val="20"/>
                <w:szCs w:val="20"/>
                <w:lang w:eastAsia="ar-SA"/>
              </w:rPr>
              <w:t xml:space="preserve"> lub </w:t>
            </w:r>
            <w:proofErr w:type="spellStart"/>
            <w:r w:rsidRPr="00015CAA">
              <w:rPr>
                <w:rFonts w:ascii="Times New Roman" w:eastAsia="Times New Roman" w:hAnsi="Times New Roman" w:cs="Times New Roman"/>
                <w:sz w:val="20"/>
                <w:szCs w:val="20"/>
                <w:lang w:eastAsia="ar-SA"/>
              </w:rPr>
              <w:t>AspAT</w:t>
            </w:r>
            <w:proofErr w:type="spellEnd"/>
            <w:r w:rsidRPr="00015CAA">
              <w:rPr>
                <w:rFonts w:ascii="Times New Roman" w:eastAsia="Times New Roman" w:hAnsi="Times New Roman" w:cs="Times New Roman"/>
                <w:sz w:val="20"/>
                <w:szCs w:val="20"/>
                <w:lang w:eastAsia="ar-SA"/>
              </w:rPr>
              <w:t xml:space="preserve"> większej niż 5 razy powyżej górnej granicy normy – dotyczy terapii </w:t>
            </w:r>
            <w:proofErr w:type="spellStart"/>
            <w:r w:rsidRPr="00015CAA">
              <w:rPr>
                <w:rFonts w:ascii="Times New Roman" w:eastAsia="Times New Roman" w:hAnsi="Times New Roman" w:cs="Times New Roman"/>
                <w:sz w:val="20"/>
                <w:szCs w:val="20"/>
                <w:lang w:eastAsia="ar-SA"/>
              </w:rPr>
              <w:t>tocilizumabem</w:t>
            </w:r>
            <w:proofErr w:type="spellEnd"/>
            <w:r w:rsidRPr="00015CAA">
              <w:rPr>
                <w:rFonts w:ascii="Times New Roman" w:eastAsia="Times New Roman" w:hAnsi="Times New Roman" w:cs="Times New Roman"/>
                <w:sz w:val="20"/>
                <w:szCs w:val="20"/>
                <w:lang w:eastAsia="ar-SA"/>
              </w:rPr>
              <w:t>,</w:t>
            </w:r>
          </w:p>
          <w:p w:rsidR="007A01C9" w:rsidRPr="00015CAA" w:rsidRDefault="007A01C9" w:rsidP="003D77A0">
            <w:pPr>
              <w:numPr>
                <w:ilvl w:val="0"/>
                <w:numId w:val="25"/>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 xml:space="preserve"> obniżenie bezwzględnej liczby granulocytów obojętnochłonnych poniżej  0,5 x10</w:t>
            </w:r>
            <w:r w:rsidRPr="00015CAA">
              <w:rPr>
                <w:rFonts w:ascii="Times New Roman" w:eastAsia="Times New Roman" w:hAnsi="Times New Roman" w:cs="Times New Roman"/>
                <w:sz w:val="20"/>
                <w:szCs w:val="20"/>
                <w:vertAlign w:val="superscript"/>
                <w:lang w:eastAsia="ar-SA"/>
              </w:rPr>
              <w:t>9</w:t>
            </w:r>
            <w:r w:rsidRPr="00015CAA">
              <w:rPr>
                <w:rFonts w:ascii="Times New Roman" w:eastAsia="Times New Roman" w:hAnsi="Times New Roman" w:cs="Times New Roman"/>
                <w:sz w:val="20"/>
                <w:szCs w:val="20"/>
                <w:lang w:eastAsia="ar-SA"/>
              </w:rPr>
              <w:t>/litr lub obniżenie  liczby płytek krwi poniżej 50 x 10</w:t>
            </w:r>
            <w:r w:rsidRPr="00015CAA">
              <w:rPr>
                <w:rFonts w:ascii="Times New Roman" w:eastAsia="Times New Roman" w:hAnsi="Times New Roman" w:cs="Times New Roman"/>
                <w:sz w:val="20"/>
                <w:szCs w:val="20"/>
                <w:vertAlign w:val="superscript"/>
                <w:lang w:eastAsia="ar-SA"/>
              </w:rPr>
              <w:t>3</w:t>
            </w:r>
            <w:r w:rsidRPr="00015CAA">
              <w:rPr>
                <w:rFonts w:ascii="Times New Roman" w:eastAsia="Times New Roman" w:hAnsi="Times New Roman" w:cs="Times New Roman"/>
                <w:sz w:val="20"/>
                <w:szCs w:val="20"/>
                <w:lang w:eastAsia="ar-SA"/>
              </w:rPr>
              <w:t>/</w:t>
            </w:r>
            <w:proofErr w:type="spellStart"/>
            <w:r w:rsidRPr="00015CAA">
              <w:rPr>
                <w:rFonts w:ascii="Times New Roman" w:eastAsia="Times New Roman" w:hAnsi="Times New Roman" w:cs="Times New Roman"/>
                <w:sz w:val="20"/>
                <w:szCs w:val="20"/>
                <w:lang w:eastAsia="ar-SA"/>
              </w:rPr>
              <w:t>μl</w:t>
            </w:r>
            <w:proofErr w:type="spellEnd"/>
            <w:r w:rsidRPr="00015CAA">
              <w:rPr>
                <w:rFonts w:ascii="Times New Roman" w:eastAsia="Times New Roman" w:hAnsi="Times New Roman" w:cs="Times New Roman"/>
                <w:sz w:val="20"/>
                <w:szCs w:val="20"/>
                <w:lang w:eastAsia="ar-SA"/>
              </w:rPr>
              <w:t xml:space="preserve">  – dotyczy terapii </w:t>
            </w:r>
            <w:proofErr w:type="spellStart"/>
            <w:r w:rsidRPr="00015CAA">
              <w:rPr>
                <w:rFonts w:ascii="Times New Roman" w:eastAsia="Times New Roman" w:hAnsi="Times New Roman" w:cs="Times New Roman"/>
                <w:sz w:val="20"/>
                <w:szCs w:val="20"/>
                <w:lang w:eastAsia="ar-SA"/>
              </w:rPr>
              <w:t>tocilizumabem</w:t>
            </w:r>
            <w:proofErr w:type="spellEnd"/>
            <w:r w:rsidRPr="00015CAA">
              <w:rPr>
                <w:rFonts w:ascii="Times New Roman" w:eastAsia="Times New Roman" w:hAnsi="Times New Roman" w:cs="Times New Roman"/>
                <w:sz w:val="20"/>
                <w:szCs w:val="20"/>
                <w:lang w:eastAsia="ar-SA"/>
              </w:rPr>
              <w:t>,</w:t>
            </w:r>
          </w:p>
          <w:p w:rsidR="007A01C9" w:rsidRPr="00015CAA" w:rsidRDefault="007A01C9" w:rsidP="003D77A0">
            <w:pPr>
              <w:numPr>
                <w:ilvl w:val="0"/>
                <w:numId w:val="25"/>
              </w:numPr>
              <w:suppressAutoHyphens/>
              <w:spacing w:after="0"/>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inne, wymienione w przeciwwskazaniach do udziału w programie.</w:t>
            </w:r>
          </w:p>
          <w:p w:rsidR="007A01C9" w:rsidRPr="00015CAA" w:rsidRDefault="007A01C9" w:rsidP="003D77A0">
            <w:pPr>
              <w:suppressAutoHyphens/>
              <w:spacing w:after="0"/>
              <w:ind w:left="720"/>
              <w:rPr>
                <w:rFonts w:ascii="Times New Roman" w:eastAsia="Times New Roman" w:hAnsi="Times New Roman" w:cs="Times New Roman"/>
                <w:sz w:val="20"/>
                <w:szCs w:val="20"/>
                <w:lang w:eastAsia="ar-SA"/>
              </w:rPr>
            </w:pPr>
          </w:p>
          <w:p w:rsidR="007A01C9" w:rsidRPr="00015CAA" w:rsidRDefault="007A01C9" w:rsidP="003D77A0">
            <w:pPr>
              <w:keepNext/>
              <w:numPr>
                <w:ilvl w:val="0"/>
                <w:numId w:val="19"/>
              </w:numPr>
              <w:tabs>
                <w:tab w:val="num" w:pos="1440"/>
              </w:tabs>
              <w:suppressAutoHyphens/>
              <w:spacing w:after="0"/>
              <w:ind w:left="357" w:hanging="357"/>
              <w:rPr>
                <w:rFonts w:ascii="Times New Roman" w:eastAsia="Times New Roman" w:hAnsi="Times New Roman" w:cs="Times New Roman"/>
                <w:b/>
                <w:bCs/>
                <w:sz w:val="20"/>
                <w:szCs w:val="20"/>
                <w:lang w:eastAsia="ar-SA"/>
              </w:rPr>
            </w:pPr>
            <w:r w:rsidRPr="00015CAA">
              <w:rPr>
                <w:rFonts w:ascii="Times New Roman" w:eastAsia="Times New Roman" w:hAnsi="Times New Roman" w:cs="Times New Roman"/>
                <w:b/>
                <w:bCs/>
                <w:sz w:val="20"/>
                <w:szCs w:val="20"/>
                <w:lang w:eastAsia="ar-SA"/>
              </w:rPr>
              <w:t>Kryteria ponownego włączenia do programu:</w:t>
            </w:r>
          </w:p>
          <w:p w:rsidR="007A01C9" w:rsidRPr="00015CAA" w:rsidRDefault="007A01C9" w:rsidP="003D77A0">
            <w:pPr>
              <w:keepNext/>
              <w:suppressAutoHyphens/>
              <w:spacing w:after="0"/>
              <w:rPr>
                <w:rFonts w:ascii="Times New Roman" w:eastAsia="Times New Roman" w:hAnsi="Times New Roman" w:cs="Times New Roman"/>
                <w:b/>
                <w:bCs/>
                <w:sz w:val="20"/>
                <w:szCs w:val="20"/>
                <w:lang w:eastAsia="ar-SA"/>
              </w:rPr>
            </w:pPr>
          </w:p>
          <w:p w:rsidR="007A01C9" w:rsidRPr="00015CAA" w:rsidRDefault="007A01C9" w:rsidP="003D77A0">
            <w:pPr>
              <w:numPr>
                <w:ilvl w:val="0"/>
                <w:numId w:val="26"/>
              </w:numPr>
              <w:suppressAutoHyphens/>
              <w:spacing w:after="0"/>
              <w:ind w:left="357" w:hanging="357"/>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 xml:space="preserve">Pacjent, u którego zaprzestano podawania substancji czynnej leku biologicznego w ramach programu i zastosowanej zgodnie z jego zapisami </w:t>
            </w:r>
            <w:r w:rsidRPr="00015CAA">
              <w:rPr>
                <w:rFonts w:ascii="Times New Roman" w:eastAsia="Times New Roman" w:hAnsi="Times New Roman" w:cs="Times New Roman"/>
                <w:sz w:val="20"/>
                <w:szCs w:val="20"/>
                <w:lang w:eastAsia="pl-PL"/>
              </w:rPr>
              <w:t>z powodu:</w:t>
            </w:r>
          </w:p>
          <w:p w:rsidR="007A01C9" w:rsidRPr="00015CAA" w:rsidRDefault="007A01C9" w:rsidP="003D77A0">
            <w:pPr>
              <w:numPr>
                <w:ilvl w:val="0"/>
                <w:numId w:val="52"/>
              </w:numPr>
              <w:suppressAutoHyphens/>
              <w:spacing w:after="0"/>
              <w:contextualSpacing/>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pl-PL"/>
              </w:rPr>
              <w:t>utrzymywania się przez 24 miesiące kryteriów bardzo dobrej odpowiedzi na leczenie, jeżeli w trakcie badania kontrolnego stwierdzono nawrót choroby, tj. zaostrzenie tak, że pacjent przestaje spełniać kryteria bardzo dobrej odpowiedzi na leczenie,</w:t>
            </w:r>
          </w:p>
          <w:p w:rsidR="007A01C9" w:rsidRPr="00015CAA" w:rsidRDefault="007A01C9" w:rsidP="003D77A0">
            <w:pPr>
              <w:numPr>
                <w:ilvl w:val="0"/>
                <w:numId w:val="52"/>
              </w:numPr>
              <w:suppressAutoHyphens/>
              <w:spacing w:after="0"/>
              <w:contextualSpacing/>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pl-PL"/>
              </w:rPr>
              <w:t>wystąpienia działań niepożądanych, które ustąpiły po odstawieniu leku bądź zastosowanym leczeniu,</w:t>
            </w:r>
          </w:p>
          <w:p w:rsidR="007A01C9" w:rsidRPr="00015CAA" w:rsidRDefault="007A01C9" w:rsidP="003D77A0">
            <w:pPr>
              <w:numPr>
                <w:ilvl w:val="0"/>
                <w:numId w:val="52"/>
              </w:numPr>
              <w:suppressAutoHyphens/>
              <w:spacing w:after="0"/>
              <w:contextualSpacing/>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pl-PL"/>
              </w:rPr>
              <w:t xml:space="preserve"> innych medycznie uzasadnionych sytuacji życiowych</w:t>
            </w:r>
          </w:p>
          <w:p w:rsidR="007A01C9" w:rsidRPr="00015CAA" w:rsidRDefault="007A01C9" w:rsidP="003D77A0">
            <w:pPr>
              <w:suppressAutoHyphens/>
              <w:spacing w:after="0"/>
              <w:ind w:left="357"/>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 xml:space="preserve">jest włączany do leczenia w ramach programu, bez </w:t>
            </w:r>
            <w:r w:rsidRPr="00015CAA">
              <w:rPr>
                <w:rFonts w:ascii="Times New Roman" w:eastAsia="Times New Roman" w:hAnsi="Times New Roman" w:cs="Times New Roman"/>
                <w:sz w:val="20"/>
                <w:szCs w:val="20"/>
                <w:lang w:eastAsia="ar-SA"/>
              </w:rPr>
              <w:lastRenderedPageBreak/>
              <w:t>kwalifikacji, jeżeli przerwa w leczeniu nie była dłuższa niż 3 miesiące. W przypadku, gdy przerwa w terapii była dłuższa niż 3 miesiące, włączenie pacjenta wymaga akceptacji za pośrednictwem aplikacji SMPT przez Zespół Koordynacyjny do Spraw Leczenia Biologicznego w Chorobach Reumatycznych.</w:t>
            </w:r>
            <w:r w:rsidRPr="00015CAA">
              <w:rPr>
                <w:rFonts w:ascii="Times New Roman" w:eastAsia="Times New Roman" w:hAnsi="Times New Roman" w:cs="Times New Roman"/>
                <w:sz w:val="24"/>
                <w:szCs w:val="24"/>
                <w:lang w:eastAsia="pl-PL"/>
              </w:rPr>
              <w:t xml:space="preserve"> </w:t>
            </w:r>
            <w:r w:rsidRPr="00015CAA">
              <w:rPr>
                <w:rFonts w:ascii="Times New Roman" w:eastAsia="Times New Roman" w:hAnsi="Times New Roman" w:cs="Times New Roman"/>
                <w:sz w:val="20"/>
                <w:szCs w:val="20"/>
                <w:lang w:eastAsia="ar-SA"/>
              </w:rPr>
              <w:t>Do czasu aktualizacji aplikacji SMPT, dopuszcza się włączenie pacjenta do programu na podstawie akceptacji  Zespołu Koordynacyjnego do Spraw Leczenia Biologicznego w Chorobach Reumatycznych, uzyskanej w inny sposób niż za pośrednictwem aplikacji SMPT.</w:t>
            </w:r>
          </w:p>
          <w:p w:rsidR="007A01C9" w:rsidRPr="003D77A0" w:rsidRDefault="007A01C9" w:rsidP="003D77A0">
            <w:pPr>
              <w:numPr>
                <w:ilvl w:val="0"/>
                <w:numId w:val="26"/>
              </w:numPr>
              <w:suppressAutoHyphens/>
              <w:spacing w:after="0"/>
              <w:ind w:left="426"/>
              <w:contextualSpacing/>
              <w:rPr>
                <w:rFonts w:ascii="Times New Roman" w:eastAsia="Times New Roman" w:hAnsi="Times New Roman" w:cs="Times New Roman"/>
                <w:sz w:val="20"/>
                <w:szCs w:val="20"/>
                <w:lang w:eastAsia="ar-SA"/>
              </w:rPr>
            </w:pPr>
            <w:r w:rsidRPr="00015CAA">
              <w:rPr>
                <w:rFonts w:ascii="Times New Roman" w:eastAsia="Times New Roman" w:hAnsi="Times New Roman" w:cs="Times New Roman"/>
                <w:sz w:val="20"/>
                <w:szCs w:val="20"/>
                <w:lang w:eastAsia="ar-SA"/>
              </w:rPr>
              <w:t>Pacjent jest włączany do programu substancją czynną, której zastosowanie wywołało niską aktywność choroby.</w:t>
            </w:r>
          </w:p>
        </w:tc>
        <w:tc>
          <w:tcPr>
            <w:tcW w:w="1656" w:type="pct"/>
            <w:tcBorders>
              <w:top w:val="single" w:sz="4" w:space="0" w:color="auto"/>
              <w:bottom w:val="single" w:sz="4" w:space="0" w:color="auto"/>
            </w:tcBorders>
          </w:tcPr>
          <w:p w:rsidR="007A01C9" w:rsidRPr="00015CAA" w:rsidRDefault="007A01C9" w:rsidP="003D77A0">
            <w:pPr>
              <w:widowControl w:val="0"/>
              <w:autoSpaceDE w:val="0"/>
              <w:autoSpaceDN w:val="0"/>
              <w:adjustRightInd w:val="0"/>
              <w:spacing w:after="0"/>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lastRenderedPageBreak/>
              <w:t>Dawkowanie:</w:t>
            </w:r>
          </w:p>
          <w:p w:rsidR="007A01C9" w:rsidRPr="00015CAA" w:rsidRDefault="007A01C9" w:rsidP="003D77A0">
            <w:pPr>
              <w:widowControl w:val="0"/>
              <w:autoSpaceDE w:val="0"/>
              <w:autoSpaceDN w:val="0"/>
              <w:adjustRightInd w:val="0"/>
              <w:spacing w:after="0"/>
              <w:rPr>
                <w:rFonts w:ascii="Times New Roman" w:eastAsia="Times New Roman" w:hAnsi="Times New Roman" w:cs="Times New Roman"/>
                <w:sz w:val="20"/>
                <w:szCs w:val="20"/>
                <w:lang w:eastAsia="pl-PL"/>
              </w:rPr>
            </w:pPr>
          </w:p>
          <w:p w:rsidR="007A01C9" w:rsidRPr="00015CAA" w:rsidRDefault="007A01C9" w:rsidP="003D77A0">
            <w:pPr>
              <w:widowControl w:val="0"/>
              <w:numPr>
                <w:ilvl w:val="0"/>
                <w:numId w:val="35"/>
              </w:numPr>
              <w:autoSpaceDE w:val="0"/>
              <w:autoSpaceDN w:val="0"/>
              <w:adjustRightInd w:val="0"/>
              <w:spacing w:after="0"/>
              <w:ind w:left="357" w:hanging="357"/>
              <w:rPr>
                <w:rFonts w:ascii="Times New Roman" w:eastAsia="Times New Roman" w:hAnsi="Times New Roman" w:cs="Times New Roman"/>
                <w:sz w:val="20"/>
                <w:szCs w:val="20"/>
                <w:lang w:eastAsia="pl-PL"/>
              </w:rPr>
            </w:pPr>
            <w:proofErr w:type="spellStart"/>
            <w:r w:rsidRPr="00015CAA">
              <w:rPr>
                <w:rFonts w:ascii="Times New Roman" w:eastAsia="Times New Roman" w:hAnsi="Times New Roman" w:cs="Times New Roman"/>
                <w:sz w:val="20"/>
                <w:szCs w:val="20"/>
                <w:lang w:eastAsia="pl-PL"/>
              </w:rPr>
              <w:t>Adalimumab</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etanercept</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tocilizumab</w:t>
            </w:r>
            <w:proofErr w:type="spellEnd"/>
            <w:r w:rsidRPr="00015CAA">
              <w:rPr>
                <w:rFonts w:ascii="Times New Roman" w:eastAsia="Times New Roman" w:hAnsi="Times New Roman" w:cs="Times New Roman"/>
                <w:sz w:val="20"/>
                <w:szCs w:val="20"/>
                <w:lang w:eastAsia="pl-PL"/>
              </w:rPr>
              <w:t xml:space="preserve"> należy podawać zgodnie z dawkowaniem określonym w aktualnej Charakterystyce Produktu Leczniczego.</w:t>
            </w:r>
          </w:p>
          <w:p w:rsidR="007A01C9" w:rsidRPr="00015CAA" w:rsidRDefault="007A01C9" w:rsidP="003D77A0">
            <w:pPr>
              <w:widowControl w:val="0"/>
              <w:numPr>
                <w:ilvl w:val="0"/>
                <w:numId w:val="35"/>
              </w:numPr>
              <w:autoSpaceDE w:val="0"/>
              <w:autoSpaceDN w:val="0"/>
              <w:adjustRightIn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Powyższe leki należy podawać z </w:t>
            </w:r>
            <w:proofErr w:type="spellStart"/>
            <w:r w:rsidRPr="00015CAA">
              <w:rPr>
                <w:rFonts w:ascii="Times New Roman" w:eastAsia="Times New Roman" w:hAnsi="Times New Roman" w:cs="Times New Roman"/>
                <w:sz w:val="20"/>
                <w:szCs w:val="20"/>
                <w:lang w:eastAsia="pl-PL"/>
              </w:rPr>
              <w:t>metotreksatem</w:t>
            </w:r>
            <w:proofErr w:type="spellEnd"/>
            <w:r w:rsidRPr="00015CAA">
              <w:rPr>
                <w:rFonts w:ascii="Times New Roman" w:eastAsia="Times New Roman" w:hAnsi="Times New Roman" w:cs="Times New Roman"/>
                <w:sz w:val="20"/>
                <w:szCs w:val="20"/>
                <w:lang w:eastAsia="pl-PL"/>
              </w:rPr>
              <w:t xml:space="preserve"> w </w:t>
            </w:r>
            <w:r w:rsidRPr="00015CAA">
              <w:rPr>
                <w:rFonts w:ascii="Times New Roman" w:eastAsia="Times New Roman" w:hAnsi="Times New Roman" w:cs="Times New Roman"/>
                <w:sz w:val="20"/>
                <w:szCs w:val="20"/>
                <w:lang w:eastAsia="pl-PL"/>
              </w:rPr>
              <w:lastRenderedPageBreak/>
              <w:t xml:space="preserve">obowiązującej dawce, chyba, że występują </w:t>
            </w:r>
            <w:proofErr w:type="spellStart"/>
            <w:r w:rsidRPr="00015CAA">
              <w:rPr>
                <w:rFonts w:ascii="Times New Roman" w:eastAsia="Times New Roman" w:hAnsi="Times New Roman" w:cs="Times New Roman"/>
                <w:sz w:val="20"/>
                <w:szCs w:val="20"/>
                <w:lang w:eastAsia="pl-PL"/>
              </w:rPr>
              <w:t>przeciwskazania</w:t>
            </w:r>
            <w:proofErr w:type="spellEnd"/>
            <w:r w:rsidRPr="00015CAA">
              <w:rPr>
                <w:rFonts w:ascii="Times New Roman" w:eastAsia="Times New Roman" w:hAnsi="Times New Roman" w:cs="Times New Roman"/>
                <w:sz w:val="20"/>
                <w:szCs w:val="20"/>
                <w:lang w:eastAsia="pl-PL"/>
              </w:rPr>
              <w:t xml:space="preserve"> do stosowania </w:t>
            </w:r>
            <w:proofErr w:type="spellStart"/>
            <w:r w:rsidRPr="00015CAA">
              <w:rPr>
                <w:rFonts w:ascii="Times New Roman" w:eastAsia="Times New Roman" w:hAnsi="Times New Roman" w:cs="Times New Roman"/>
                <w:sz w:val="20"/>
                <w:szCs w:val="20"/>
                <w:lang w:eastAsia="pl-PL"/>
              </w:rPr>
              <w:t>metotreksatu</w:t>
            </w:r>
            <w:proofErr w:type="spellEnd"/>
            <w:r w:rsidRPr="00015CAA">
              <w:rPr>
                <w:rFonts w:ascii="Times New Roman" w:eastAsia="Times New Roman" w:hAnsi="Times New Roman" w:cs="Times New Roman"/>
                <w:sz w:val="20"/>
                <w:szCs w:val="20"/>
                <w:lang w:eastAsia="pl-PL"/>
              </w:rPr>
              <w:t xml:space="preserve">. </w:t>
            </w:r>
            <w:r w:rsidRPr="00015CAA">
              <w:rPr>
                <w:rFonts w:ascii="Times New Roman" w:eastAsia="Times New Roman" w:hAnsi="Times New Roman" w:cs="Times New Roman"/>
                <w:sz w:val="20"/>
                <w:szCs w:val="20"/>
                <w:lang w:eastAsia="pl-PL"/>
              </w:rPr>
              <w:br/>
              <w:t xml:space="preserve">W przypadku wystąpienia </w:t>
            </w:r>
            <w:proofErr w:type="spellStart"/>
            <w:r w:rsidRPr="00015CAA">
              <w:rPr>
                <w:rFonts w:ascii="Times New Roman" w:eastAsia="Times New Roman" w:hAnsi="Times New Roman" w:cs="Times New Roman"/>
                <w:sz w:val="20"/>
                <w:szCs w:val="20"/>
                <w:lang w:eastAsia="pl-PL"/>
              </w:rPr>
              <w:t>przeciwskazań</w:t>
            </w:r>
            <w:proofErr w:type="spellEnd"/>
            <w:r w:rsidRPr="00015CAA">
              <w:rPr>
                <w:rFonts w:ascii="Times New Roman" w:eastAsia="Times New Roman" w:hAnsi="Times New Roman" w:cs="Times New Roman"/>
                <w:sz w:val="20"/>
                <w:szCs w:val="20"/>
                <w:lang w:eastAsia="pl-PL"/>
              </w:rPr>
              <w:t xml:space="preserve"> do stosowania </w:t>
            </w:r>
            <w:proofErr w:type="spellStart"/>
            <w:r w:rsidRPr="00015CAA">
              <w:rPr>
                <w:rFonts w:ascii="Times New Roman" w:eastAsia="Times New Roman" w:hAnsi="Times New Roman" w:cs="Times New Roman"/>
                <w:sz w:val="20"/>
                <w:szCs w:val="20"/>
                <w:lang w:eastAsia="pl-PL"/>
              </w:rPr>
              <w:t>metotreksatu</w:t>
            </w:r>
            <w:proofErr w:type="spellEnd"/>
            <w:r w:rsidRPr="00015CAA">
              <w:rPr>
                <w:rFonts w:ascii="Times New Roman" w:eastAsia="Times New Roman" w:hAnsi="Times New Roman" w:cs="Times New Roman"/>
                <w:sz w:val="20"/>
                <w:szCs w:val="20"/>
                <w:lang w:eastAsia="pl-PL"/>
              </w:rPr>
              <w:t xml:space="preserve">, rozważyć podanie substancji czynnych leków biologicznych z innym, wymienionym w programie lekiem modyfikującym przebieg choroby/immunosupresyjnym w obowiązującej dawce, w wyjątkowych sytuacjach substancje czynne leków biologicznych stosować w </w:t>
            </w:r>
            <w:proofErr w:type="spellStart"/>
            <w:r w:rsidRPr="00015CAA">
              <w:rPr>
                <w:rFonts w:ascii="Times New Roman" w:eastAsia="Times New Roman" w:hAnsi="Times New Roman" w:cs="Times New Roman"/>
                <w:sz w:val="20"/>
                <w:szCs w:val="20"/>
                <w:lang w:eastAsia="pl-PL"/>
              </w:rPr>
              <w:t>monoterapii</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widowControl w:val="0"/>
              <w:numPr>
                <w:ilvl w:val="0"/>
                <w:numId w:val="35"/>
              </w:numPr>
              <w:autoSpaceDE w:val="0"/>
              <w:autoSpaceDN w:val="0"/>
              <w:adjustRightIn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U pacjenta, u którego występuje adekwatna odpowiedź na leczenie, terapię prowadzi się z użyciem substancji czynnej, która wywołała taką odpowiedź. Adekwatną odpowiedź na leczenie definiujemy jako:</w:t>
            </w:r>
          </w:p>
          <w:p w:rsidR="007A01C9" w:rsidRPr="00015CAA" w:rsidRDefault="007A01C9" w:rsidP="003D77A0">
            <w:pPr>
              <w:widowControl w:val="0"/>
              <w:numPr>
                <w:ilvl w:val="0"/>
                <w:numId w:val="38"/>
              </w:numPr>
              <w:autoSpaceDE w:val="0"/>
              <w:autoSpaceDN w:val="0"/>
              <w:adjustRightIn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poprawę o co najmniej 30% od wartości wyjściowych (albo wartości uzyskanych na poprzedniej wizycie monitorującej), według oceny Gianniniego – u pacjentów z </w:t>
            </w:r>
            <w:proofErr w:type="spellStart"/>
            <w:r w:rsidRPr="00015CAA">
              <w:rPr>
                <w:rFonts w:ascii="Times New Roman" w:eastAsia="Times New Roman" w:hAnsi="Times New Roman" w:cs="Times New Roman"/>
                <w:sz w:val="20"/>
                <w:szCs w:val="20"/>
                <w:lang w:eastAsia="pl-PL"/>
              </w:rPr>
              <w:t>rozpozaniem</w:t>
            </w:r>
            <w:proofErr w:type="spellEnd"/>
            <w:r w:rsidRPr="00015CAA">
              <w:rPr>
                <w:rFonts w:ascii="Times New Roman" w:eastAsia="Times New Roman" w:hAnsi="Times New Roman" w:cs="Times New Roman"/>
                <w:sz w:val="20"/>
                <w:szCs w:val="20"/>
                <w:lang w:eastAsia="pl-PL"/>
              </w:rPr>
              <w:t xml:space="preserve"> MIZS z dominującymi objawami ze strony stawów,</w:t>
            </w:r>
          </w:p>
          <w:p w:rsidR="007A01C9" w:rsidRPr="00015CAA" w:rsidRDefault="007A01C9" w:rsidP="003D77A0">
            <w:pPr>
              <w:widowControl w:val="0"/>
              <w:numPr>
                <w:ilvl w:val="0"/>
                <w:numId w:val="38"/>
              </w:numPr>
              <w:autoSpaceDE w:val="0"/>
              <w:autoSpaceDN w:val="0"/>
              <w:adjustRightIn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ustąpienie objawów układowych po 3 pierwszych miesiącach terapii i brak zaostrzeń na kolejnych wizytach monitorujących – u pacjentów z rozpoznaniem  MIZS z dominującymi objawami układowymi,</w:t>
            </w:r>
          </w:p>
          <w:p w:rsidR="007A01C9" w:rsidRPr="00015CAA" w:rsidRDefault="007A01C9" w:rsidP="003D77A0">
            <w:pPr>
              <w:widowControl w:val="0"/>
              <w:numPr>
                <w:ilvl w:val="0"/>
                <w:numId w:val="38"/>
              </w:numPr>
              <w:autoSpaceDE w:val="0"/>
              <w:autoSpaceDN w:val="0"/>
              <w:adjustRightInd w:val="0"/>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w przypadku pacjentów, którzy spełniają kryteria bardzo dobrej odpowiedzi na leczenie – brak zaostrzeń na kolejnych wizytach monitorujących.</w:t>
            </w:r>
          </w:p>
          <w:p w:rsidR="007A01C9" w:rsidRPr="00015CAA" w:rsidRDefault="007A01C9" w:rsidP="003D77A0">
            <w:pPr>
              <w:widowControl w:val="0"/>
              <w:autoSpaceDE w:val="0"/>
              <w:autoSpaceDN w:val="0"/>
              <w:adjustRightInd w:val="0"/>
              <w:spacing w:after="0"/>
              <w:rPr>
                <w:rFonts w:ascii="Times New Roman" w:eastAsia="Times New Roman" w:hAnsi="Times New Roman" w:cs="Times New Roman"/>
                <w:sz w:val="20"/>
                <w:szCs w:val="20"/>
                <w:lang w:eastAsia="pl-PL"/>
              </w:rPr>
            </w:pPr>
          </w:p>
        </w:tc>
        <w:tc>
          <w:tcPr>
            <w:tcW w:w="1609" w:type="pct"/>
            <w:tcBorders>
              <w:top w:val="single" w:sz="4" w:space="0" w:color="auto"/>
              <w:bottom w:val="single" w:sz="4" w:space="0" w:color="auto"/>
              <w:right w:val="single" w:sz="4" w:space="0" w:color="auto"/>
            </w:tcBorders>
          </w:tcPr>
          <w:p w:rsidR="007A01C9" w:rsidRPr="00015CAA" w:rsidRDefault="007A01C9" w:rsidP="003D77A0">
            <w:pPr>
              <w:widowControl w:val="0"/>
              <w:numPr>
                <w:ilvl w:val="0"/>
                <w:numId w:val="17"/>
              </w:numPr>
              <w:autoSpaceDE w:val="0"/>
              <w:autoSpaceDN w:val="0"/>
              <w:adjustRightInd w:val="0"/>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b/>
                <w:sz w:val="20"/>
                <w:szCs w:val="20"/>
                <w:lang w:eastAsia="pl-PL"/>
              </w:rPr>
              <w:lastRenderedPageBreak/>
              <w:t>Badania przy pierwszej kwalifikacji do programu:</w:t>
            </w:r>
          </w:p>
          <w:p w:rsidR="007A01C9" w:rsidRPr="00015CAA" w:rsidRDefault="007A01C9" w:rsidP="003D77A0">
            <w:pPr>
              <w:widowControl w:val="0"/>
              <w:autoSpaceDE w:val="0"/>
              <w:autoSpaceDN w:val="0"/>
              <w:adjustRightInd w:val="0"/>
              <w:spacing w:after="0"/>
              <w:rPr>
                <w:rFonts w:ascii="Times New Roman" w:eastAsia="Times New Roman" w:hAnsi="Times New Roman" w:cs="Times New Roman"/>
                <w:sz w:val="20"/>
                <w:szCs w:val="20"/>
                <w:lang w:eastAsia="pl-PL"/>
              </w:rPr>
            </w:pPr>
          </w:p>
          <w:p w:rsidR="007A01C9" w:rsidRPr="00015CAA" w:rsidRDefault="007A01C9" w:rsidP="003D77A0">
            <w:pPr>
              <w:numPr>
                <w:ilvl w:val="0"/>
                <w:numId w:val="14"/>
              </w:numPr>
              <w:tabs>
                <w:tab w:val="num" w:pos="529"/>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próba tuberkulinowa lub </w:t>
            </w:r>
            <w:proofErr w:type="spellStart"/>
            <w:r w:rsidRPr="00015CAA">
              <w:rPr>
                <w:rFonts w:ascii="Times New Roman" w:eastAsia="Times New Roman" w:hAnsi="Times New Roman" w:cs="Times New Roman"/>
                <w:sz w:val="20"/>
                <w:szCs w:val="20"/>
                <w:lang w:eastAsia="pl-PL"/>
              </w:rPr>
              <w:t>Quantiferon</w:t>
            </w:r>
            <w:proofErr w:type="spellEnd"/>
            <w:r w:rsidRPr="00015CAA">
              <w:rPr>
                <w:rFonts w:ascii="Times New Roman" w:eastAsia="Times New Roman" w:hAnsi="Times New Roman" w:cs="Times New Roman"/>
                <w:sz w:val="20"/>
                <w:szCs w:val="20"/>
                <w:lang w:eastAsia="pl-PL"/>
              </w:rPr>
              <w:t xml:space="preserve"> test;</w:t>
            </w:r>
          </w:p>
          <w:p w:rsidR="007A01C9" w:rsidRPr="00015CAA" w:rsidRDefault="007A01C9" w:rsidP="003D77A0">
            <w:pPr>
              <w:numPr>
                <w:ilvl w:val="0"/>
                <w:numId w:val="14"/>
              </w:numPr>
              <w:tabs>
                <w:tab w:val="num" w:pos="529"/>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antygen </w:t>
            </w:r>
            <w:proofErr w:type="spellStart"/>
            <w:r w:rsidRPr="00015CAA">
              <w:rPr>
                <w:rFonts w:ascii="Times New Roman" w:eastAsia="Times New Roman" w:hAnsi="Times New Roman" w:cs="Times New Roman"/>
                <w:sz w:val="20"/>
                <w:szCs w:val="20"/>
                <w:lang w:eastAsia="pl-PL"/>
              </w:rPr>
              <w:t>HBs</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14"/>
              </w:numPr>
              <w:tabs>
                <w:tab w:val="num" w:pos="529"/>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przeciwciała HCV;</w:t>
            </w:r>
          </w:p>
          <w:p w:rsidR="007A01C9" w:rsidRPr="00015CAA" w:rsidRDefault="007A01C9" w:rsidP="003D77A0">
            <w:pPr>
              <w:numPr>
                <w:ilvl w:val="0"/>
                <w:numId w:val="14"/>
              </w:numPr>
              <w:tabs>
                <w:tab w:val="num" w:pos="529"/>
              </w:tabs>
              <w:spacing w:after="0"/>
              <w:ind w:left="357" w:hanging="357"/>
              <w:rPr>
                <w:rFonts w:ascii="Times New Roman" w:eastAsia="Times New Roman" w:hAnsi="Times New Roman" w:cs="Times New Roman"/>
                <w:sz w:val="20"/>
                <w:szCs w:val="20"/>
                <w:lang w:val="en-US" w:eastAsia="pl-PL"/>
              </w:rPr>
            </w:pPr>
            <w:proofErr w:type="spellStart"/>
            <w:r w:rsidRPr="00015CAA">
              <w:rPr>
                <w:rFonts w:ascii="Times New Roman" w:eastAsia="Times New Roman" w:hAnsi="Times New Roman" w:cs="Times New Roman"/>
                <w:sz w:val="20"/>
                <w:szCs w:val="20"/>
                <w:lang w:val="en-US" w:eastAsia="pl-PL"/>
              </w:rPr>
              <w:t>antygen</w:t>
            </w:r>
            <w:proofErr w:type="spellEnd"/>
            <w:r w:rsidRPr="00015CAA">
              <w:rPr>
                <w:rFonts w:ascii="Times New Roman" w:eastAsia="Times New Roman" w:hAnsi="Times New Roman" w:cs="Times New Roman"/>
                <w:sz w:val="20"/>
                <w:szCs w:val="20"/>
                <w:lang w:val="en-US" w:eastAsia="pl-PL"/>
              </w:rPr>
              <w:t xml:space="preserve"> </w:t>
            </w:r>
            <w:proofErr w:type="spellStart"/>
            <w:r w:rsidRPr="00015CAA">
              <w:rPr>
                <w:rFonts w:ascii="Times New Roman" w:eastAsia="Times New Roman" w:hAnsi="Times New Roman" w:cs="Times New Roman"/>
                <w:sz w:val="20"/>
                <w:szCs w:val="20"/>
                <w:lang w:val="en-US" w:eastAsia="pl-PL"/>
              </w:rPr>
              <w:t>wirusa</w:t>
            </w:r>
            <w:proofErr w:type="spellEnd"/>
            <w:r w:rsidRPr="00015CAA">
              <w:rPr>
                <w:rFonts w:ascii="Times New Roman" w:eastAsia="Times New Roman" w:hAnsi="Times New Roman" w:cs="Times New Roman"/>
                <w:sz w:val="20"/>
                <w:szCs w:val="20"/>
                <w:lang w:val="en-US" w:eastAsia="pl-PL"/>
              </w:rPr>
              <w:t xml:space="preserve"> HIV (HIV Ag/</w:t>
            </w:r>
            <w:proofErr w:type="spellStart"/>
            <w:r w:rsidRPr="00015CAA">
              <w:rPr>
                <w:rFonts w:ascii="Times New Roman" w:eastAsia="Times New Roman" w:hAnsi="Times New Roman" w:cs="Times New Roman"/>
                <w:sz w:val="20"/>
                <w:szCs w:val="20"/>
                <w:lang w:val="en-US" w:eastAsia="pl-PL"/>
              </w:rPr>
              <w:t>Ab</w:t>
            </w:r>
            <w:proofErr w:type="spellEnd"/>
            <w:r w:rsidRPr="00015CAA">
              <w:rPr>
                <w:rFonts w:ascii="Times New Roman" w:eastAsia="Times New Roman" w:hAnsi="Times New Roman" w:cs="Times New Roman"/>
                <w:sz w:val="20"/>
                <w:szCs w:val="20"/>
                <w:lang w:val="en-US" w:eastAsia="pl-PL"/>
              </w:rPr>
              <w:t xml:space="preserve"> Combo);</w:t>
            </w:r>
          </w:p>
          <w:p w:rsidR="007A01C9" w:rsidRPr="00015CAA" w:rsidRDefault="007A01C9" w:rsidP="003D77A0">
            <w:pPr>
              <w:numPr>
                <w:ilvl w:val="0"/>
                <w:numId w:val="14"/>
              </w:numPr>
              <w:tabs>
                <w:tab w:val="num" w:pos="529"/>
              </w:tabs>
              <w:spacing w:after="0"/>
              <w:ind w:left="357" w:hanging="357"/>
              <w:rPr>
                <w:rFonts w:ascii="Times New Roman" w:eastAsia="Times New Roman" w:hAnsi="Times New Roman" w:cs="Times New Roman"/>
                <w:sz w:val="20"/>
                <w:szCs w:val="20"/>
                <w:lang w:val="en-US" w:eastAsia="pl-PL"/>
              </w:rPr>
            </w:pPr>
            <w:r w:rsidRPr="00015CAA">
              <w:rPr>
                <w:rFonts w:ascii="Times New Roman" w:eastAsia="Times New Roman" w:hAnsi="Times New Roman" w:cs="Times New Roman"/>
                <w:sz w:val="20"/>
                <w:szCs w:val="20"/>
                <w:lang w:val="en-US" w:eastAsia="pl-PL"/>
              </w:rPr>
              <w:lastRenderedPageBreak/>
              <w:t xml:space="preserve">EKG z </w:t>
            </w:r>
            <w:proofErr w:type="spellStart"/>
            <w:r w:rsidRPr="00015CAA">
              <w:rPr>
                <w:rFonts w:ascii="Times New Roman" w:eastAsia="Times New Roman" w:hAnsi="Times New Roman" w:cs="Times New Roman"/>
                <w:sz w:val="20"/>
                <w:szCs w:val="20"/>
                <w:lang w:val="en-US" w:eastAsia="pl-PL"/>
              </w:rPr>
              <w:t>opisem</w:t>
            </w:r>
            <w:proofErr w:type="spellEnd"/>
            <w:r w:rsidRPr="00015CAA">
              <w:rPr>
                <w:rFonts w:ascii="Times New Roman" w:eastAsia="Times New Roman" w:hAnsi="Times New Roman" w:cs="Times New Roman"/>
                <w:sz w:val="20"/>
                <w:szCs w:val="20"/>
                <w:lang w:val="en-US" w:eastAsia="pl-PL"/>
              </w:rPr>
              <w:t>;</w:t>
            </w:r>
          </w:p>
          <w:p w:rsidR="007A01C9" w:rsidRPr="00015CAA" w:rsidRDefault="007A01C9" w:rsidP="003D77A0">
            <w:pPr>
              <w:numPr>
                <w:ilvl w:val="0"/>
                <w:numId w:val="14"/>
              </w:numPr>
              <w:tabs>
                <w:tab w:val="num" w:pos="529"/>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RTG klatki piersiowej z opisem (maksymalnie do 3 miesięcy przed kwalifikacją).</w:t>
            </w:r>
          </w:p>
          <w:p w:rsidR="007A01C9" w:rsidRPr="00015CAA" w:rsidRDefault="007A01C9" w:rsidP="003D77A0">
            <w:pPr>
              <w:spacing w:after="0"/>
              <w:ind w:left="357"/>
              <w:rPr>
                <w:rFonts w:ascii="Times New Roman" w:eastAsia="Times New Roman" w:hAnsi="Times New Roman" w:cs="Times New Roman"/>
                <w:sz w:val="20"/>
                <w:szCs w:val="20"/>
                <w:lang w:eastAsia="pl-PL"/>
              </w:rPr>
            </w:pPr>
          </w:p>
          <w:p w:rsidR="007A01C9" w:rsidRPr="00015CAA" w:rsidRDefault="007A01C9" w:rsidP="003D77A0">
            <w:pPr>
              <w:numPr>
                <w:ilvl w:val="0"/>
                <w:numId w:val="17"/>
              </w:numPr>
              <w:tabs>
                <w:tab w:val="num" w:pos="584"/>
              </w:tabs>
              <w:spacing w:after="0"/>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Badania przy pierwszej, albo kolejnych kwalifikacjach do programu, jeżeli ostatnie oznaczenie wykonano wcześniej niż 1 miesiąc przed podaniem pierwszej dawki substancji czynnej leku biologicznego:</w:t>
            </w:r>
          </w:p>
          <w:p w:rsidR="007A01C9" w:rsidRPr="00015CAA" w:rsidRDefault="007A01C9" w:rsidP="003D77A0">
            <w:pPr>
              <w:spacing w:after="0"/>
              <w:ind w:left="360"/>
              <w:rPr>
                <w:rFonts w:ascii="Times New Roman" w:eastAsia="Times New Roman" w:hAnsi="Times New Roman" w:cs="Times New Roman"/>
                <w:b/>
                <w:sz w:val="20"/>
                <w:szCs w:val="20"/>
                <w:lang w:eastAsia="pl-PL"/>
              </w:rPr>
            </w:pPr>
          </w:p>
          <w:p w:rsidR="007A01C9" w:rsidRPr="00015CAA" w:rsidRDefault="007A01C9" w:rsidP="003D77A0">
            <w:pPr>
              <w:numPr>
                <w:ilvl w:val="0"/>
                <w:numId w:val="43"/>
              </w:numPr>
              <w:tabs>
                <w:tab w:val="num" w:pos="584"/>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morfologia krwi, albo – w przypadku kwalifikowania do terapii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 xml:space="preserve"> – morfologia krwi z rozmazem oraz oznaczeniem bezwzględnej liczby granulocytów obojętnochłonnych;</w:t>
            </w:r>
          </w:p>
          <w:p w:rsidR="007A01C9" w:rsidRPr="00015CAA" w:rsidRDefault="007A01C9" w:rsidP="003D77A0">
            <w:pPr>
              <w:numPr>
                <w:ilvl w:val="0"/>
                <w:numId w:val="43"/>
              </w:numPr>
              <w:tabs>
                <w:tab w:val="num" w:pos="584"/>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płytki krwi (PLT);</w:t>
            </w:r>
          </w:p>
          <w:p w:rsidR="007A01C9" w:rsidRPr="00015CAA" w:rsidRDefault="007A01C9" w:rsidP="003D77A0">
            <w:pPr>
              <w:numPr>
                <w:ilvl w:val="0"/>
                <w:numId w:val="43"/>
              </w:numPr>
              <w:tabs>
                <w:tab w:val="num" w:pos="584"/>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odczyn Biernackiego (OB);</w:t>
            </w:r>
          </w:p>
          <w:p w:rsidR="007A01C9" w:rsidRPr="00015CAA" w:rsidRDefault="007A01C9" w:rsidP="003D77A0">
            <w:pPr>
              <w:numPr>
                <w:ilvl w:val="0"/>
                <w:numId w:val="43"/>
              </w:numPr>
              <w:tabs>
                <w:tab w:val="num" w:pos="584"/>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aminotransferaza </w:t>
            </w:r>
            <w:proofErr w:type="spellStart"/>
            <w:r w:rsidRPr="00015CAA">
              <w:rPr>
                <w:rFonts w:ascii="Times New Roman" w:eastAsia="Times New Roman" w:hAnsi="Times New Roman" w:cs="Times New Roman"/>
                <w:sz w:val="20"/>
                <w:szCs w:val="20"/>
                <w:lang w:eastAsia="pl-PL"/>
              </w:rPr>
              <w:t>asparaginianowa</w:t>
            </w:r>
            <w:proofErr w:type="spellEnd"/>
            <w:r w:rsidRPr="00015CAA">
              <w:rPr>
                <w:rFonts w:ascii="Times New Roman" w:eastAsia="Times New Roman" w:hAnsi="Times New Roman" w:cs="Times New Roman"/>
                <w:sz w:val="20"/>
                <w:szCs w:val="20"/>
                <w:lang w:eastAsia="pl-PL"/>
              </w:rPr>
              <w:t xml:space="preserve"> (</w:t>
            </w:r>
            <w:proofErr w:type="spellStart"/>
            <w:r w:rsidRPr="00015CAA">
              <w:rPr>
                <w:rFonts w:ascii="Times New Roman" w:eastAsia="Times New Roman" w:hAnsi="Times New Roman" w:cs="Times New Roman"/>
                <w:sz w:val="20"/>
                <w:szCs w:val="20"/>
                <w:lang w:eastAsia="pl-PL"/>
              </w:rPr>
              <w:t>AspAT</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43"/>
              </w:numPr>
              <w:tabs>
                <w:tab w:val="num" w:pos="584"/>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aminotransferaza alaninowa (</w:t>
            </w:r>
            <w:proofErr w:type="spellStart"/>
            <w:r w:rsidRPr="00015CAA">
              <w:rPr>
                <w:rFonts w:ascii="Times New Roman" w:eastAsia="Times New Roman" w:hAnsi="Times New Roman" w:cs="Times New Roman"/>
                <w:sz w:val="20"/>
                <w:szCs w:val="20"/>
                <w:lang w:eastAsia="pl-PL"/>
              </w:rPr>
              <w:t>AlAT</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numPr>
                <w:ilvl w:val="0"/>
                <w:numId w:val="43"/>
              </w:numPr>
              <w:tabs>
                <w:tab w:val="num" w:pos="584"/>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stężenie kreatyniny w surowicy;</w:t>
            </w:r>
          </w:p>
          <w:p w:rsidR="007A01C9" w:rsidRPr="00015CAA" w:rsidRDefault="007A01C9" w:rsidP="003D77A0">
            <w:pPr>
              <w:numPr>
                <w:ilvl w:val="0"/>
                <w:numId w:val="43"/>
              </w:numPr>
              <w:tabs>
                <w:tab w:val="num" w:pos="584"/>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stężenie białka C-reaktywnego (CRP);</w:t>
            </w:r>
          </w:p>
          <w:p w:rsidR="007A01C9" w:rsidRPr="00015CAA" w:rsidRDefault="007A01C9" w:rsidP="003D77A0">
            <w:pPr>
              <w:numPr>
                <w:ilvl w:val="0"/>
                <w:numId w:val="43"/>
              </w:numPr>
              <w:tabs>
                <w:tab w:val="num" w:pos="584"/>
              </w:tabs>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badanie ogólne moczu;</w:t>
            </w:r>
          </w:p>
          <w:p w:rsidR="007A01C9" w:rsidRPr="00015CAA" w:rsidRDefault="007A01C9" w:rsidP="003D77A0">
            <w:pPr>
              <w:numPr>
                <w:ilvl w:val="0"/>
                <w:numId w:val="43"/>
              </w:numPr>
              <w:tabs>
                <w:tab w:val="num" w:pos="584"/>
              </w:tabs>
              <w:spacing w:after="0"/>
              <w:ind w:left="357" w:hanging="357"/>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sz w:val="20"/>
                <w:szCs w:val="20"/>
                <w:lang w:eastAsia="pl-PL"/>
              </w:rPr>
              <w:t xml:space="preserve">profil lipidów: stężenie cholesterolu całkowitego, LDL, HDL, </w:t>
            </w:r>
            <w:proofErr w:type="spellStart"/>
            <w:r w:rsidRPr="00015CAA">
              <w:rPr>
                <w:rFonts w:ascii="Times New Roman" w:eastAsia="Times New Roman" w:hAnsi="Times New Roman" w:cs="Times New Roman"/>
                <w:sz w:val="20"/>
                <w:szCs w:val="20"/>
                <w:lang w:eastAsia="pl-PL"/>
              </w:rPr>
              <w:t>trójglicerydów</w:t>
            </w:r>
            <w:proofErr w:type="spellEnd"/>
            <w:r w:rsidRPr="00015CAA">
              <w:rPr>
                <w:rFonts w:ascii="Times New Roman" w:eastAsia="Times New Roman" w:hAnsi="Times New Roman" w:cs="Times New Roman"/>
                <w:sz w:val="20"/>
                <w:szCs w:val="20"/>
                <w:lang w:eastAsia="pl-PL"/>
              </w:rPr>
              <w:t xml:space="preserve"> - w przypadku kwalifikowania do terapii </w:t>
            </w:r>
            <w:proofErr w:type="spellStart"/>
            <w:r w:rsidRPr="00015CAA">
              <w:rPr>
                <w:rFonts w:ascii="Times New Roman" w:eastAsia="Times New Roman" w:hAnsi="Times New Roman" w:cs="Times New Roman"/>
                <w:sz w:val="20"/>
                <w:szCs w:val="20"/>
                <w:lang w:eastAsia="pl-PL"/>
              </w:rPr>
              <w:t>tocilizumabem</w:t>
            </w:r>
            <w:proofErr w:type="spellEnd"/>
            <w:r w:rsidRPr="00015CAA">
              <w:rPr>
                <w:rFonts w:ascii="Times New Roman" w:eastAsia="Times New Roman" w:hAnsi="Times New Roman" w:cs="Times New Roman"/>
                <w:sz w:val="20"/>
                <w:szCs w:val="20"/>
                <w:lang w:eastAsia="pl-PL"/>
              </w:rPr>
              <w:t>.</w:t>
            </w:r>
          </w:p>
          <w:p w:rsidR="007A01C9" w:rsidRPr="00015CAA" w:rsidRDefault="007A01C9" w:rsidP="003D77A0">
            <w:pPr>
              <w:spacing w:after="0"/>
              <w:ind w:left="357"/>
              <w:rPr>
                <w:rFonts w:ascii="Times New Roman" w:eastAsia="Times New Roman" w:hAnsi="Times New Roman" w:cs="Times New Roman"/>
                <w:b/>
                <w:sz w:val="20"/>
                <w:szCs w:val="20"/>
                <w:lang w:eastAsia="pl-PL"/>
              </w:rPr>
            </w:pPr>
          </w:p>
          <w:p w:rsidR="007A01C9" w:rsidRPr="00015CAA" w:rsidRDefault="007A01C9" w:rsidP="003D77A0">
            <w:pPr>
              <w:widowControl w:val="0"/>
              <w:numPr>
                <w:ilvl w:val="0"/>
                <w:numId w:val="17"/>
              </w:numPr>
              <w:autoSpaceDE w:val="0"/>
              <w:autoSpaceDN w:val="0"/>
              <w:adjustRightInd w:val="0"/>
              <w:spacing w:after="0"/>
              <w:rPr>
                <w:rFonts w:ascii="Times New Roman" w:eastAsia="Times New Roman" w:hAnsi="Times New Roman" w:cs="Times New Roman"/>
                <w:b/>
                <w:sz w:val="20"/>
                <w:szCs w:val="20"/>
                <w:lang w:eastAsia="pl-PL"/>
              </w:rPr>
            </w:pPr>
            <w:r w:rsidRPr="00015CAA">
              <w:rPr>
                <w:rFonts w:ascii="Times New Roman" w:eastAsia="Times New Roman" w:hAnsi="Times New Roman" w:cs="Times New Roman"/>
                <w:b/>
                <w:sz w:val="20"/>
                <w:szCs w:val="20"/>
                <w:lang w:eastAsia="pl-PL"/>
              </w:rPr>
              <w:t xml:space="preserve">Monitorowanie leczenia:  </w:t>
            </w:r>
          </w:p>
          <w:p w:rsidR="007A01C9" w:rsidRPr="00015CAA" w:rsidRDefault="007A01C9" w:rsidP="003D77A0">
            <w:pPr>
              <w:widowControl w:val="0"/>
              <w:autoSpaceDE w:val="0"/>
              <w:autoSpaceDN w:val="0"/>
              <w:adjustRightInd w:val="0"/>
              <w:spacing w:after="0"/>
              <w:ind w:left="360"/>
              <w:rPr>
                <w:rFonts w:ascii="Times New Roman" w:eastAsia="Times New Roman" w:hAnsi="Times New Roman" w:cs="Times New Roman"/>
                <w:b/>
                <w:sz w:val="20"/>
                <w:szCs w:val="20"/>
                <w:lang w:eastAsia="pl-PL"/>
              </w:rPr>
            </w:pPr>
          </w:p>
          <w:p w:rsidR="007A01C9" w:rsidRPr="00015CAA" w:rsidRDefault="007A01C9" w:rsidP="003D77A0">
            <w:pPr>
              <w:widowControl w:val="0"/>
              <w:numPr>
                <w:ilvl w:val="0"/>
                <w:numId w:val="50"/>
              </w:numPr>
              <w:autoSpaceDE w:val="0"/>
              <w:autoSpaceDN w:val="0"/>
              <w:adjustRightInd w:val="0"/>
              <w:spacing w:after="0"/>
              <w:ind w:left="357" w:hanging="357"/>
              <w:contextualSpacing/>
              <w:rPr>
                <w:rFonts w:ascii="Times New Roman" w:eastAsia="Batang" w:hAnsi="Times New Roman" w:cs="Times New Roman"/>
                <w:sz w:val="20"/>
                <w:szCs w:val="20"/>
                <w:lang w:eastAsia="ar-SA"/>
              </w:rPr>
            </w:pPr>
            <w:r w:rsidRPr="00015CAA">
              <w:rPr>
                <w:rFonts w:ascii="Times New Roman" w:eastAsia="Times New Roman" w:hAnsi="Times New Roman" w:cs="Times New Roman"/>
                <w:sz w:val="20"/>
                <w:szCs w:val="20"/>
                <w:lang w:eastAsia="pl-PL"/>
              </w:rPr>
              <w:t>W ciągu pierwszych sześciu miesięcy terapii daną substancją czynną, wymienione niżej badania należy wykonać nie rzadziej niż 1 raz na 3 miesiące:</w:t>
            </w:r>
          </w:p>
          <w:p w:rsidR="007A01C9" w:rsidRPr="00015CAA" w:rsidRDefault="007A01C9" w:rsidP="003D77A0">
            <w:pPr>
              <w:numPr>
                <w:ilvl w:val="0"/>
                <w:numId w:val="51"/>
              </w:numPr>
              <w:suppressAutoHyphens/>
              <w:spacing w:after="0"/>
              <w:contextualSpacing/>
              <w:rPr>
                <w:rFonts w:ascii="Times New Roman" w:eastAsia="Batang" w:hAnsi="Times New Roman" w:cs="Times New Roman"/>
                <w:sz w:val="20"/>
                <w:szCs w:val="20"/>
                <w:lang w:eastAsia="pl-PL"/>
              </w:rPr>
            </w:pPr>
            <w:r w:rsidRPr="00015CAA">
              <w:rPr>
                <w:rFonts w:ascii="Times New Roman" w:eastAsia="Batang" w:hAnsi="Times New Roman" w:cs="Times New Roman"/>
                <w:sz w:val="20"/>
                <w:szCs w:val="20"/>
                <w:lang w:eastAsia="pl-PL"/>
              </w:rPr>
              <w:t xml:space="preserve">morfologię krwi z rozmazem, </w:t>
            </w:r>
          </w:p>
          <w:p w:rsidR="007A01C9" w:rsidRPr="00015CAA" w:rsidRDefault="007A01C9" w:rsidP="003D77A0">
            <w:pPr>
              <w:numPr>
                <w:ilvl w:val="0"/>
                <w:numId w:val="51"/>
              </w:numPr>
              <w:suppressAutoHyphens/>
              <w:spacing w:after="0"/>
              <w:contextualSpacing/>
              <w:rPr>
                <w:rFonts w:ascii="Times New Roman" w:eastAsia="Batang" w:hAnsi="Times New Roman" w:cs="Times New Roman"/>
                <w:sz w:val="20"/>
                <w:szCs w:val="20"/>
                <w:lang w:eastAsia="pl-PL"/>
              </w:rPr>
            </w:pPr>
            <w:r w:rsidRPr="00015CAA">
              <w:rPr>
                <w:rFonts w:ascii="Times New Roman" w:eastAsia="Batang" w:hAnsi="Times New Roman" w:cs="Times New Roman"/>
                <w:sz w:val="20"/>
                <w:szCs w:val="20"/>
                <w:lang w:eastAsia="pl-PL"/>
              </w:rPr>
              <w:t>odczyn Biernackiego (OB),</w:t>
            </w:r>
          </w:p>
          <w:p w:rsidR="007A01C9" w:rsidRPr="00015CAA" w:rsidRDefault="007A01C9" w:rsidP="003D77A0">
            <w:pPr>
              <w:numPr>
                <w:ilvl w:val="0"/>
                <w:numId w:val="51"/>
              </w:numPr>
              <w:suppressAutoHyphens/>
              <w:spacing w:after="0"/>
              <w:contextualSpacing/>
              <w:rPr>
                <w:rFonts w:ascii="Times New Roman" w:eastAsia="Batang" w:hAnsi="Times New Roman" w:cs="Times New Roman"/>
                <w:sz w:val="20"/>
                <w:szCs w:val="20"/>
                <w:lang w:eastAsia="pl-PL"/>
              </w:rPr>
            </w:pPr>
            <w:r w:rsidRPr="00015CAA">
              <w:rPr>
                <w:rFonts w:ascii="Times New Roman" w:eastAsia="Batang" w:hAnsi="Times New Roman" w:cs="Times New Roman"/>
                <w:sz w:val="20"/>
                <w:szCs w:val="20"/>
                <w:lang w:eastAsia="pl-PL"/>
              </w:rPr>
              <w:t>stężenie białka C-reaktywnego (CRP),</w:t>
            </w:r>
          </w:p>
          <w:p w:rsidR="007A01C9" w:rsidRPr="00015CAA" w:rsidRDefault="007A01C9" w:rsidP="003D77A0">
            <w:pPr>
              <w:numPr>
                <w:ilvl w:val="0"/>
                <w:numId w:val="51"/>
              </w:numPr>
              <w:suppressAutoHyphens/>
              <w:spacing w:after="0"/>
              <w:contextualSpacing/>
              <w:rPr>
                <w:rFonts w:ascii="Times New Roman" w:eastAsia="Batang" w:hAnsi="Times New Roman" w:cs="Times New Roman"/>
                <w:sz w:val="20"/>
                <w:szCs w:val="20"/>
                <w:lang w:eastAsia="pl-PL"/>
              </w:rPr>
            </w:pPr>
            <w:r w:rsidRPr="00015CAA">
              <w:rPr>
                <w:rFonts w:ascii="Times New Roman" w:eastAsia="Batang" w:hAnsi="Times New Roman" w:cs="Times New Roman"/>
                <w:sz w:val="20"/>
                <w:szCs w:val="20"/>
                <w:lang w:eastAsia="pl-PL"/>
              </w:rPr>
              <w:lastRenderedPageBreak/>
              <w:t>stężenie kreatyniny w surowicy,</w:t>
            </w:r>
          </w:p>
          <w:p w:rsidR="007A01C9" w:rsidRPr="00015CAA" w:rsidRDefault="007A01C9" w:rsidP="003D77A0">
            <w:pPr>
              <w:numPr>
                <w:ilvl w:val="0"/>
                <w:numId w:val="51"/>
              </w:numPr>
              <w:suppressAutoHyphens/>
              <w:spacing w:after="0"/>
              <w:contextualSpacing/>
              <w:rPr>
                <w:rFonts w:ascii="Times New Roman" w:eastAsia="Times New Roman" w:hAnsi="Times New Roman" w:cs="Times New Roman"/>
                <w:sz w:val="20"/>
                <w:szCs w:val="20"/>
                <w:lang w:eastAsia="pl-PL"/>
              </w:rPr>
            </w:pPr>
            <w:r w:rsidRPr="00015CAA">
              <w:rPr>
                <w:rFonts w:ascii="Times New Roman" w:eastAsia="Batang" w:hAnsi="Times New Roman" w:cs="Times New Roman"/>
                <w:sz w:val="20"/>
                <w:szCs w:val="20"/>
                <w:lang w:eastAsia="pl-PL"/>
              </w:rPr>
              <w:t xml:space="preserve">aktywność </w:t>
            </w:r>
            <w:proofErr w:type="spellStart"/>
            <w:r w:rsidRPr="00015CAA">
              <w:rPr>
                <w:rFonts w:ascii="Times New Roman" w:eastAsia="Batang" w:hAnsi="Times New Roman" w:cs="Times New Roman"/>
                <w:sz w:val="20"/>
                <w:szCs w:val="20"/>
                <w:lang w:eastAsia="pl-PL"/>
              </w:rPr>
              <w:t>AspAT</w:t>
            </w:r>
            <w:proofErr w:type="spellEnd"/>
            <w:r w:rsidRPr="00015CAA">
              <w:rPr>
                <w:rFonts w:ascii="Times New Roman" w:eastAsia="Batang" w:hAnsi="Times New Roman" w:cs="Times New Roman"/>
                <w:sz w:val="20"/>
                <w:szCs w:val="20"/>
                <w:lang w:eastAsia="pl-PL"/>
              </w:rPr>
              <w:t xml:space="preserve"> i </w:t>
            </w:r>
            <w:proofErr w:type="spellStart"/>
            <w:r w:rsidRPr="00015CAA">
              <w:rPr>
                <w:rFonts w:ascii="Times New Roman" w:eastAsia="Batang" w:hAnsi="Times New Roman" w:cs="Times New Roman"/>
                <w:sz w:val="20"/>
                <w:szCs w:val="20"/>
                <w:lang w:eastAsia="pl-PL"/>
              </w:rPr>
              <w:t>AlAT</w:t>
            </w:r>
            <w:proofErr w:type="spellEnd"/>
            <w:r w:rsidRPr="00015CAA">
              <w:rPr>
                <w:rFonts w:ascii="Times New Roman" w:eastAsia="Batang" w:hAnsi="Times New Roman" w:cs="Times New Roman"/>
                <w:sz w:val="20"/>
                <w:szCs w:val="20"/>
                <w:lang w:eastAsia="pl-PL"/>
              </w:rPr>
              <w:t>,</w:t>
            </w:r>
          </w:p>
          <w:p w:rsidR="007A01C9" w:rsidRPr="00015CAA" w:rsidRDefault="007A01C9" w:rsidP="003D77A0">
            <w:pPr>
              <w:numPr>
                <w:ilvl w:val="0"/>
                <w:numId w:val="51"/>
              </w:numPr>
              <w:suppressAutoHyphens/>
              <w:spacing w:after="0"/>
              <w:contextualSpacing/>
              <w:rPr>
                <w:rFonts w:ascii="Times New Roman" w:eastAsia="Times New Roman" w:hAnsi="Times New Roman" w:cs="Times New Roman"/>
                <w:sz w:val="20"/>
                <w:szCs w:val="20"/>
                <w:lang w:eastAsia="pl-PL"/>
              </w:rPr>
            </w:pPr>
            <w:r w:rsidRPr="00015CAA">
              <w:rPr>
                <w:rFonts w:ascii="Times New Roman" w:eastAsia="Batang" w:hAnsi="Times New Roman" w:cs="Times New Roman"/>
                <w:sz w:val="20"/>
                <w:szCs w:val="20"/>
                <w:lang w:eastAsia="pl-PL"/>
              </w:rPr>
              <w:t xml:space="preserve">stężenie cholesterolu całkowitego, LDL, HDL, trój glicerydów – w przypadku terapii </w:t>
            </w:r>
            <w:proofErr w:type="spellStart"/>
            <w:r w:rsidRPr="00015CAA">
              <w:rPr>
                <w:rFonts w:ascii="Times New Roman" w:eastAsia="Batang" w:hAnsi="Times New Roman" w:cs="Times New Roman"/>
                <w:sz w:val="20"/>
                <w:szCs w:val="20"/>
                <w:lang w:eastAsia="pl-PL"/>
              </w:rPr>
              <w:t>tocilizumabem</w:t>
            </w:r>
            <w:proofErr w:type="spellEnd"/>
            <w:r w:rsidRPr="00015CAA">
              <w:rPr>
                <w:rFonts w:ascii="Times New Roman" w:eastAsia="Batang" w:hAnsi="Times New Roman" w:cs="Times New Roman"/>
                <w:sz w:val="20"/>
                <w:szCs w:val="20"/>
                <w:lang w:eastAsia="pl-PL"/>
              </w:rPr>
              <w:t xml:space="preserve">. W przypadku stwierdzenia nieprawidłowości w badaniach profilu lipidowego należy wdrożyć postępowanie zgodne z zasadami postępowania w </w:t>
            </w:r>
            <w:proofErr w:type="spellStart"/>
            <w:r w:rsidRPr="00015CAA">
              <w:rPr>
                <w:rFonts w:ascii="Times New Roman" w:eastAsia="Batang" w:hAnsi="Times New Roman" w:cs="Times New Roman"/>
                <w:sz w:val="20"/>
                <w:szCs w:val="20"/>
                <w:lang w:eastAsia="pl-PL"/>
              </w:rPr>
              <w:t>hiperlipidemii</w:t>
            </w:r>
            <w:proofErr w:type="spellEnd"/>
            <w:r w:rsidRPr="00015CAA">
              <w:rPr>
                <w:rFonts w:ascii="Times New Roman" w:eastAsia="Batang" w:hAnsi="Times New Roman" w:cs="Times New Roman"/>
                <w:sz w:val="20"/>
                <w:szCs w:val="20"/>
                <w:lang w:eastAsia="pl-PL"/>
              </w:rPr>
              <w:t>,</w:t>
            </w:r>
          </w:p>
          <w:p w:rsidR="007A01C9" w:rsidRPr="00015CAA" w:rsidRDefault="007A01C9" w:rsidP="003D77A0">
            <w:pPr>
              <w:numPr>
                <w:ilvl w:val="0"/>
                <w:numId w:val="51"/>
              </w:numPr>
              <w:suppressAutoHyphens/>
              <w:spacing w:after="0"/>
              <w:contextualSpacing/>
              <w:rPr>
                <w:rFonts w:ascii="Times New Roman" w:eastAsia="Times New Roman" w:hAnsi="Times New Roman" w:cs="Times New Roman"/>
                <w:sz w:val="20"/>
                <w:szCs w:val="20"/>
                <w:lang w:eastAsia="pl-PL"/>
              </w:rPr>
            </w:pPr>
            <w:r w:rsidRPr="00015CAA">
              <w:rPr>
                <w:rFonts w:ascii="Times New Roman" w:eastAsia="Batang" w:hAnsi="Times New Roman" w:cs="Times New Roman"/>
                <w:sz w:val="20"/>
                <w:szCs w:val="20"/>
                <w:lang w:eastAsia="pl-PL"/>
              </w:rPr>
              <w:t>ocena skuteczności zastosowanej terapii.</w:t>
            </w:r>
          </w:p>
          <w:p w:rsidR="007A01C9" w:rsidRPr="00015CAA" w:rsidRDefault="007A01C9" w:rsidP="003D77A0">
            <w:pPr>
              <w:suppressAutoHyphens/>
              <w:spacing w:after="0"/>
              <w:ind w:left="36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Jeżeli terapia daną substancją czynną jest kontynuowana, badania wymienione w </w:t>
            </w:r>
            <w:proofErr w:type="spellStart"/>
            <w:r w:rsidRPr="00015CAA">
              <w:rPr>
                <w:rFonts w:ascii="Times New Roman" w:eastAsia="Times New Roman" w:hAnsi="Times New Roman" w:cs="Times New Roman"/>
                <w:sz w:val="20"/>
                <w:szCs w:val="20"/>
                <w:lang w:eastAsia="pl-PL"/>
              </w:rPr>
              <w:t>pkt</w:t>
            </w:r>
            <w:proofErr w:type="spellEnd"/>
            <w:r w:rsidRPr="00015CAA">
              <w:rPr>
                <w:rFonts w:ascii="Times New Roman" w:eastAsia="Times New Roman" w:hAnsi="Times New Roman" w:cs="Times New Roman"/>
                <w:sz w:val="20"/>
                <w:szCs w:val="20"/>
                <w:lang w:eastAsia="pl-PL"/>
              </w:rPr>
              <w:t xml:space="preserve"> a) - f) należy wykonywać nie rzadziej niż:</w:t>
            </w:r>
          </w:p>
          <w:p w:rsidR="007A01C9" w:rsidRPr="00015CAA" w:rsidRDefault="007A01C9" w:rsidP="003D77A0">
            <w:pPr>
              <w:suppressAutoHyphens/>
              <w:spacing w:after="0"/>
              <w:ind w:left="36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- 1 raz na6 miesięcy – podczas terapii inhibitorem TNF alfa albo</w:t>
            </w:r>
          </w:p>
          <w:p w:rsidR="007A01C9" w:rsidRPr="00015CAA" w:rsidRDefault="007A01C9" w:rsidP="003D77A0">
            <w:pPr>
              <w:suppressAutoHyphens/>
              <w:spacing w:after="0"/>
              <w:ind w:left="36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xml:space="preserve">- 1 raz na 3 miesiące – podczas terapii </w:t>
            </w:r>
            <w:proofErr w:type="spellStart"/>
            <w:r w:rsidRPr="00015CAA">
              <w:rPr>
                <w:rFonts w:ascii="Times New Roman" w:eastAsia="Times New Roman" w:hAnsi="Times New Roman" w:cs="Times New Roman"/>
                <w:sz w:val="20"/>
                <w:szCs w:val="20"/>
                <w:lang w:eastAsia="pl-PL"/>
              </w:rPr>
              <w:t>tocilizumabem</w:t>
            </w:r>
            <w:proofErr w:type="spellEnd"/>
          </w:p>
          <w:p w:rsidR="007A01C9" w:rsidRPr="00015CAA" w:rsidRDefault="007A01C9" w:rsidP="003D77A0">
            <w:pPr>
              <w:suppressAutoHyphens/>
              <w:spacing w:after="0"/>
              <w:ind w:left="360"/>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 natomiast ocenę skuteczności przeprowadzać nie rzadziej niż 1 raz na 6 miesięcy.</w:t>
            </w:r>
          </w:p>
          <w:p w:rsidR="007A01C9" w:rsidRPr="00015CAA" w:rsidRDefault="007A01C9" w:rsidP="003D77A0">
            <w:pPr>
              <w:numPr>
                <w:ilvl w:val="0"/>
                <w:numId w:val="50"/>
              </w:numPr>
              <w:spacing w:after="0"/>
              <w:ind w:left="357" w:hanging="357"/>
              <w:contextualSpacing/>
              <w:rPr>
                <w:rFonts w:ascii="Times New Roman" w:eastAsia="Times New Roman" w:hAnsi="Times New Roman" w:cs="Times New Roman"/>
                <w:bCs/>
                <w:iCs/>
                <w:sz w:val="20"/>
                <w:szCs w:val="20"/>
                <w:lang w:eastAsia="pl-PL"/>
              </w:rPr>
            </w:pPr>
            <w:r w:rsidRPr="00015CAA">
              <w:rPr>
                <w:rFonts w:ascii="Minion" w:eastAsia="PMingLiU" w:hAnsi="Minion" w:cs="Times New Roman"/>
                <w:sz w:val="20"/>
                <w:szCs w:val="20"/>
                <w:lang w:eastAsia="zh-TW"/>
              </w:rPr>
              <w:t xml:space="preserve">Co najmniej raz do roku należy wykonać EKG z opisem oraz rozważyć wykonanie RTG klatki piersiowej  z opisem, badania na obecność antygenu HIV, HBV, przeciwciał </w:t>
            </w:r>
            <w:proofErr w:type="spellStart"/>
            <w:r w:rsidRPr="00015CAA">
              <w:rPr>
                <w:rFonts w:ascii="Minion" w:eastAsia="PMingLiU" w:hAnsi="Minion" w:cs="Times New Roman"/>
                <w:sz w:val="20"/>
                <w:szCs w:val="20"/>
                <w:lang w:eastAsia="zh-TW"/>
              </w:rPr>
              <w:t>anty-HCV</w:t>
            </w:r>
            <w:proofErr w:type="spellEnd"/>
            <w:r w:rsidRPr="00015CAA">
              <w:rPr>
                <w:rFonts w:ascii="Minion" w:eastAsia="PMingLiU" w:hAnsi="Minion" w:cs="Times New Roman"/>
                <w:sz w:val="20"/>
                <w:szCs w:val="20"/>
                <w:lang w:eastAsia="zh-TW"/>
              </w:rPr>
              <w:t>.</w:t>
            </w:r>
          </w:p>
          <w:p w:rsidR="007A01C9" w:rsidRPr="00015CAA" w:rsidRDefault="007A01C9" w:rsidP="003D77A0">
            <w:pPr>
              <w:spacing w:after="0"/>
              <w:rPr>
                <w:rFonts w:ascii="Times New Roman" w:eastAsia="Times New Roman" w:hAnsi="Times New Roman" w:cs="Times New Roman"/>
                <w:bCs/>
                <w:iCs/>
                <w:sz w:val="20"/>
                <w:szCs w:val="20"/>
                <w:lang w:eastAsia="pl-PL"/>
              </w:rPr>
            </w:pPr>
          </w:p>
          <w:p w:rsidR="007A01C9" w:rsidRPr="00015CAA" w:rsidRDefault="007A01C9" w:rsidP="003D77A0">
            <w:pPr>
              <w:widowControl w:val="0"/>
              <w:numPr>
                <w:ilvl w:val="0"/>
                <w:numId w:val="17"/>
              </w:numPr>
              <w:autoSpaceDE w:val="0"/>
              <w:autoSpaceDN w:val="0"/>
              <w:adjustRightInd w:val="0"/>
              <w:spacing w:after="0"/>
              <w:rPr>
                <w:rFonts w:ascii="Times New Roman" w:eastAsia="Times New Roman" w:hAnsi="Times New Roman" w:cs="Times New Roman"/>
                <w:sz w:val="20"/>
                <w:szCs w:val="20"/>
                <w:lang w:eastAsia="pl-PL"/>
              </w:rPr>
            </w:pPr>
            <w:r w:rsidRPr="00015CAA">
              <w:rPr>
                <w:rFonts w:ascii="Times New Roman" w:eastAsia="Times New Roman" w:hAnsi="Times New Roman" w:cs="Times New Roman"/>
                <w:b/>
                <w:sz w:val="20"/>
                <w:szCs w:val="20"/>
                <w:lang w:eastAsia="pl-PL"/>
              </w:rPr>
              <w:t xml:space="preserve">Monitorowanie programu: </w:t>
            </w:r>
          </w:p>
          <w:p w:rsidR="007A01C9" w:rsidRPr="00015CAA" w:rsidRDefault="007A01C9" w:rsidP="003D77A0">
            <w:pPr>
              <w:widowControl w:val="0"/>
              <w:autoSpaceDE w:val="0"/>
              <w:autoSpaceDN w:val="0"/>
              <w:adjustRightInd w:val="0"/>
              <w:spacing w:after="0"/>
              <w:ind w:left="360"/>
              <w:rPr>
                <w:rFonts w:ascii="Times New Roman" w:eastAsia="Times New Roman" w:hAnsi="Times New Roman" w:cs="Times New Roman"/>
                <w:sz w:val="20"/>
                <w:szCs w:val="20"/>
                <w:lang w:eastAsia="pl-PL"/>
              </w:rPr>
            </w:pPr>
          </w:p>
          <w:p w:rsidR="007A01C9" w:rsidRPr="00015CAA" w:rsidRDefault="007A01C9" w:rsidP="003D77A0">
            <w:pPr>
              <w:numPr>
                <w:ilvl w:val="0"/>
                <w:numId w:val="18"/>
              </w:numPr>
              <w:spacing w:after="0"/>
              <w:ind w:left="357" w:hanging="357"/>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gromadzenie w dokumentacji medycznej pacjenta danych dotyczących monitorowania leczenia i każdorazowe ich przedstawianie na żądanie kontrolerów  Narodowego Funduszu Zdrowia;</w:t>
            </w:r>
          </w:p>
          <w:p w:rsidR="007A01C9" w:rsidRPr="00015CAA" w:rsidRDefault="007A01C9" w:rsidP="003D77A0">
            <w:pPr>
              <w:numPr>
                <w:ilvl w:val="0"/>
                <w:numId w:val="18"/>
              </w:numPr>
              <w:spacing w:after="0"/>
              <w:ind w:left="388" w:hanging="388"/>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t>uzupełnienie danych zawartych w rejestrze (SMPT) dostępnym za pomocą aplikacji internetowej udostępnionej przez OW NFZ, z częstotliwością zgodną z opisem programu oraz na zakończenie leczenia;</w:t>
            </w:r>
          </w:p>
          <w:p w:rsidR="007A01C9" w:rsidRPr="00015CAA" w:rsidRDefault="007A01C9" w:rsidP="003D77A0">
            <w:pPr>
              <w:numPr>
                <w:ilvl w:val="0"/>
                <w:numId w:val="18"/>
              </w:numPr>
              <w:spacing w:after="0"/>
              <w:ind w:left="388" w:hanging="388"/>
              <w:rPr>
                <w:rFonts w:ascii="Times New Roman" w:eastAsia="Times New Roman" w:hAnsi="Times New Roman" w:cs="Times New Roman"/>
                <w:sz w:val="20"/>
                <w:szCs w:val="20"/>
                <w:lang w:eastAsia="pl-PL"/>
              </w:rPr>
            </w:pPr>
            <w:r w:rsidRPr="00015CAA">
              <w:rPr>
                <w:rFonts w:ascii="Times New Roman" w:eastAsia="Times New Roman" w:hAnsi="Times New Roman" w:cs="Times New Roman"/>
                <w:sz w:val="20"/>
                <w:szCs w:val="20"/>
                <w:lang w:eastAsia="pl-PL"/>
              </w:rPr>
              <w:lastRenderedPageBreak/>
              <w:t>przekazywanie informacji sprawozdawczo-rozliczeniowych do NFZ: informacje przekazuje się do NFZ w formie papierowej lub w formie elektronicznej, zgodnie z wymaganiami opublikowanymi przez Narodowy Fundusz Zdrowia.</w:t>
            </w:r>
          </w:p>
          <w:p w:rsidR="007A01C9" w:rsidRPr="00015CAA" w:rsidRDefault="007A01C9" w:rsidP="003D77A0">
            <w:pPr>
              <w:spacing w:after="0"/>
              <w:rPr>
                <w:rFonts w:ascii="Times New Roman" w:eastAsia="Times New Roman" w:hAnsi="Times New Roman" w:cs="Times New Roman"/>
                <w:b/>
                <w:sz w:val="20"/>
                <w:szCs w:val="20"/>
                <w:lang w:eastAsia="pl-PL"/>
              </w:rPr>
            </w:pPr>
          </w:p>
        </w:tc>
      </w:tr>
    </w:tbl>
    <w:p w:rsidR="007A01C9" w:rsidRPr="00015CAA" w:rsidRDefault="007A01C9" w:rsidP="003D77A0">
      <w:pPr>
        <w:spacing w:after="0"/>
        <w:rPr>
          <w:rFonts w:ascii="Times New Roman" w:eastAsia="Times New Roman" w:hAnsi="Times New Roman" w:cs="Times New Roman"/>
          <w:sz w:val="20"/>
          <w:szCs w:val="20"/>
          <w:lang w:eastAsia="pl-PL"/>
        </w:rPr>
      </w:pPr>
    </w:p>
    <w:p w:rsidR="007A01C9" w:rsidRPr="005E7BB0" w:rsidRDefault="007A01C9" w:rsidP="003D77A0">
      <w:pPr>
        <w:widowControl w:val="0"/>
        <w:tabs>
          <w:tab w:val="left" w:pos="1305"/>
        </w:tabs>
        <w:autoSpaceDE w:val="0"/>
        <w:autoSpaceDN w:val="0"/>
        <w:adjustRightInd w:val="0"/>
        <w:spacing w:after="0"/>
        <w:rPr>
          <w:rFonts w:ascii="Arial" w:eastAsia="Times New Roman" w:hAnsi="Arial" w:cs="Arial"/>
          <w:lang w:eastAsia="pl-PL"/>
        </w:rPr>
      </w:pPr>
    </w:p>
    <w:p w:rsidR="008C15F1" w:rsidRDefault="008C15F1"/>
    <w:sectPr w:rsidR="008C15F1" w:rsidSect="001A3F84">
      <w:footerReference w:type="first" r:id="rId7"/>
      <w:pgSz w:w="16838" w:h="11906" w:orient="landscape"/>
      <w:pgMar w:top="1588" w:right="720" w:bottom="1418"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D3A" w:rsidRDefault="00FD3D3A">
      <w:pPr>
        <w:spacing w:after="0" w:line="240" w:lineRule="auto"/>
      </w:pPr>
      <w:r>
        <w:separator/>
      </w:r>
    </w:p>
  </w:endnote>
  <w:endnote w:type="continuationSeparator" w:id="0">
    <w:p w:rsidR="00FD3D3A" w:rsidRDefault="00FD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żyj czcionki tekstu azjatycki">
    <w:altName w:val="Times New Roman"/>
    <w:panose1 w:val="00000000000000000000"/>
    <w:charset w:val="00"/>
    <w:family w:val="roman"/>
    <w:notTrueType/>
    <w:pitch w:val="default"/>
    <w:sig w:usb0="00000000" w:usb1="00000000" w:usb2="00000000" w:usb3="00000000" w:csb0="00000000" w:csb1="00000000"/>
  </w:font>
  <w:font w:name="CKBKDC+Arial">
    <w:altName w:val="Arial"/>
    <w:panose1 w:val="00000000000000000000"/>
    <w:charset w:val="00"/>
    <w:family w:val="swiss"/>
    <w:notTrueType/>
    <w:pitch w:val="default"/>
    <w:sig w:usb0="00000003" w:usb1="00000000" w:usb2="00000000" w:usb3="00000000" w:csb0="00000001" w:csb1="00000000"/>
  </w:font>
  <w:font w:name="Minion">
    <w:altName w:val="Times New Roman"/>
    <w:charset w:val="00"/>
    <w:family w:val="roman"/>
    <w:pitch w:val="variable"/>
    <w:sig w:usb0="00000001" w:usb1="5000E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50" w:rsidRDefault="003E2250">
    <w:pPr>
      <w:pStyle w:val="Stopka"/>
    </w:pPr>
  </w:p>
  <w:p w:rsidR="003E2250" w:rsidRDefault="003E22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D3A" w:rsidRDefault="00FD3D3A">
      <w:pPr>
        <w:spacing w:after="0" w:line="240" w:lineRule="auto"/>
      </w:pPr>
      <w:r>
        <w:separator/>
      </w:r>
    </w:p>
  </w:footnote>
  <w:footnote w:type="continuationSeparator" w:id="0">
    <w:p w:rsidR="00FD3D3A" w:rsidRDefault="00FD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6B4"/>
    <w:multiLevelType w:val="hybridMultilevel"/>
    <w:tmpl w:val="F2426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D78EB"/>
    <w:multiLevelType w:val="hybridMultilevel"/>
    <w:tmpl w:val="520860FC"/>
    <w:lvl w:ilvl="0" w:tplc="42702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926F26"/>
    <w:multiLevelType w:val="hybridMultilevel"/>
    <w:tmpl w:val="A1885E16"/>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E4D8BA46">
      <w:start w:val="1"/>
      <w:numFmt w:val="decimal"/>
      <w:lvlText w:val="%3)"/>
      <w:lvlJc w:val="left"/>
      <w:pPr>
        <w:tabs>
          <w:tab w:val="num" w:pos="2340"/>
        </w:tabs>
        <w:ind w:left="454" w:firstLine="1526"/>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232517"/>
    <w:multiLevelType w:val="hybridMultilevel"/>
    <w:tmpl w:val="9104A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027CE5"/>
    <w:multiLevelType w:val="hybridMultilevel"/>
    <w:tmpl w:val="6CCC29B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79627C"/>
    <w:multiLevelType w:val="hybridMultilevel"/>
    <w:tmpl w:val="72EAF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E254E7"/>
    <w:multiLevelType w:val="hybridMultilevel"/>
    <w:tmpl w:val="C2049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FF265C"/>
    <w:multiLevelType w:val="hybridMultilevel"/>
    <w:tmpl w:val="68420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390B9B"/>
    <w:multiLevelType w:val="hybridMultilevel"/>
    <w:tmpl w:val="B8B22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5E02F2"/>
    <w:multiLevelType w:val="hybridMultilevel"/>
    <w:tmpl w:val="341C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880EC7"/>
    <w:multiLevelType w:val="hybridMultilevel"/>
    <w:tmpl w:val="171876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94B32"/>
    <w:multiLevelType w:val="hybridMultilevel"/>
    <w:tmpl w:val="F648E0BE"/>
    <w:lvl w:ilvl="0" w:tplc="14D8F9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2D48FA"/>
    <w:multiLevelType w:val="hybridMultilevel"/>
    <w:tmpl w:val="F2C87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DA3DDF"/>
    <w:multiLevelType w:val="hybridMultilevel"/>
    <w:tmpl w:val="0DE43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52254E"/>
    <w:multiLevelType w:val="hybridMultilevel"/>
    <w:tmpl w:val="68420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8C4980"/>
    <w:multiLevelType w:val="hybridMultilevel"/>
    <w:tmpl w:val="FFE0C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5E3512"/>
    <w:multiLevelType w:val="hybridMultilevel"/>
    <w:tmpl w:val="7F5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8D5A36"/>
    <w:multiLevelType w:val="hybridMultilevel"/>
    <w:tmpl w:val="48122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D81417"/>
    <w:multiLevelType w:val="hybridMultilevel"/>
    <w:tmpl w:val="DD768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A2738C"/>
    <w:multiLevelType w:val="hybridMultilevel"/>
    <w:tmpl w:val="A686D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84125F"/>
    <w:multiLevelType w:val="hybridMultilevel"/>
    <w:tmpl w:val="ECD2C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C13570"/>
    <w:multiLevelType w:val="hybridMultilevel"/>
    <w:tmpl w:val="EB0A88F6"/>
    <w:lvl w:ilvl="0" w:tplc="DDA6B762">
      <w:start w:val="1"/>
      <w:numFmt w:val="decimal"/>
      <w:lvlText w:val="%1."/>
      <w:lvlJc w:val="center"/>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1D20C20"/>
    <w:multiLevelType w:val="hybridMultilevel"/>
    <w:tmpl w:val="C9BCABE6"/>
    <w:lvl w:ilvl="0" w:tplc="14D8F9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3A44F75"/>
    <w:multiLevelType w:val="hybridMultilevel"/>
    <w:tmpl w:val="0D140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FA26D7"/>
    <w:multiLevelType w:val="hybridMultilevel"/>
    <w:tmpl w:val="7FC8A3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9F64EB"/>
    <w:multiLevelType w:val="hybridMultilevel"/>
    <w:tmpl w:val="CACEE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4E5774"/>
    <w:multiLevelType w:val="hybridMultilevel"/>
    <w:tmpl w:val="7666BEE4"/>
    <w:lvl w:ilvl="0" w:tplc="42702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680125"/>
    <w:multiLevelType w:val="hybridMultilevel"/>
    <w:tmpl w:val="20887D2E"/>
    <w:lvl w:ilvl="0" w:tplc="B508A9A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42FC6F2A"/>
    <w:multiLevelType w:val="hybridMultilevel"/>
    <w:tmpl w:val="079C3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C76208"/>
    <w:multiLevelType w:val="hybridMultilevel"/>
    <w:tmpl w:val="7B26E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8E1F89"/>
    <w:multiLevelType w:val="hybridMultilevel"/>
    <w:tmpl w:val="A7E69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80282D"/>
    <w:multiLevelType w:val="hybridMultilevel"/>
    <w:tmpl w:val="EAB26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8C6A5F"/>
    <w:multiLevelType w:val="hybridMultilevel"/>
    <w:tmpl w:val="6B5071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6739FB"/>
    <w:multiLevelType w:val="hybridMultilevel"/>
    <w:tmpl w:val="209C7E2C"/>
    <w:lvl w:ilvl="0" w:tplc="04150011">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34">
    <w:nsid w:val="54CE3AB7"/>
    <w:multiLevelType w:val="hybridMultilevel"/>
    <w:tmpl w:val="01767C48"/>
    <w:lvl w:ilvl="0" w:tplc="CF1CF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59324B5"/>
    <w:multiLevelType w:val="hybridMultilevel"/>
    <w:tmpl w:val="C4AEC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5C0964"/>
    <w:multiLevelType w:val="hybridMultilevel"/>
    <w:tmpl w:val="D5EC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8D7DAA"/>
    <w:multiLevelType w:val="hybridMultilevel"/>
    <w:tmpl w:val="D81AF14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513B0C"/>
    <w:multiLevelType w:val="hybridMultilevel"/>
    <w:tmpl w:val="FD961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9D6452"/>
    <w:multiLevelType w:val="hybridMultilevel"/>
    <w:tmpl w:val="4D16A920"/>
    <w:lvl w:ilvl="0" w:tplc="14D8F9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49503D0"/>
    <w:multiLevelType w:val="hybridMultilevel"/>
    <w:tmpl w:val="ACCC973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A3C5C4B"/>
    <w:multiLevelType w:val="hybridMultilevel"/>
    <w:tmpl w:val="EAD2339A"/>
    <w:lvl w:ilvl="0" w:tplc="11DA2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D93559"/>
    <w:multiLevelType w:val="hybridMultilevel"/>
    <w:tmpl w:val="A7E69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406B3"/>
    <w:multiLevelType w:val="hybridMultilevel"/>
    <w:tmpl w:val="46405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F8118E"/>
    <w:multiLevelType w:val="hybridMultilevel"/>
    <w:tmpl w:val="52747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D24DAD"/>
    <w:multiLevelType w:val="hybridMultilevel"/>
    <w:tmpl w:val="31FE2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FA2FB7"/>
    <w:multiLevelType w:val="hybridMultilevel"/>
    <w:tmpl w:val="FFE83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955189"/>
    <w:multiLevelType w:val="hybridMultilevel"/>
    <w:tmpl w:val="920EC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390473"/>
    <w:multiLevelType w:val="hybridMultilevel"/>
    <w:tmpl w:val="DF0445A6"/>
    <w:lvl w:ilvl="0" w:tplc="14D8F9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9AA4C09"/>
    <w:multiLevelType w:val="hybridMultilevel"/>
    <w:tmpl w:val="4F945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9F0986"/>
    <w:multiLevelType w:val="hybridMultilevel"/>
    <w:tmpl w:val="389E5984"/>
    <w:lvl w:ilvl="0" w:tplc="8D7663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5B4CA0"/>
    <w:multiLevelType w:val="hybridMultilevel"/>
    <w:tmpl w:val="FCF4B5CA"/>
    <w:lvl w:ilvl="0" w:tplc="BB462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6"/>
  </w:num>
  <w:num w:numId="3">
    <w:abstractNumId w:val="0"/>
  </w:num>
  <w:num w:numId="4">
    <w:abstractNumId w:val="26"/>
  </w:num>
  <w:num w:numId="5">
    <w:abstractNumId w:val="1"/>
  </w:num>
  <w:num w:numId="6">
    <w:abstractNumId w:val="28"/>
  </w:num>
  <w:num w:numId="7">
    <w:abstractNumId w:val="3"/>
  </w:num>
  <w:num w:numId="8">
    <w:abstractNumId w:val="38"/>
  </w:num>
  <w:num w:numId="9">
    <w:abstractNumId w:val="6"/>
  </w:num>
  <w:num w:numId="10">
    <w:abstractNumId w:val="47"/>
  </w:num>
  <w:num w:numId="11">
    <w:abstractNumId w:val="31"/>
  </w:num>
  <w:num w:numId="12">
    <w:abstractNumId w:val="45"/>
  </w:num>
  <w:num w:numId="13">
    <w:abstractNumId w:val="7"/>
  </w:num>
  <w:num w:numId="14">
    <w:abstractNumId w:val="2"/>
  </w:num>
  <w:num w:numId="15">
    <w:abstractNumId w:val="29"/>
  </w:num>
  <w:num w:numId="16">
    <w:abstractNumId w:val="32"/>
  </w:num>
  <w:num w:numId="17">
    <w:abstractNumId w:val="21"/>
  </w:num>
  <w:num w:numId="18">
    <w:abstractNumId w:val="14"/>
  </w:num>
  <w:num w:numId="19">
    <w:abstractNumId w:val="15"/>
  </w:num>
  <w:num w:numId="20">
    <w:abstractNumId w:val="44"/>
  </w:num>
  <w:num w:numId="21">
    <w:abstractNumId w:val="13"/>
  </w:num>
  <w:num w:numId="22">
    <w:abstractNumId w:val="18"/>
  </w:num>
  <w:num w:numId="23">
    <w:abstractNumId w:val="43"/>
  </w:num>
  <w:num w:numId="24">
    <w:abstractNumId w:val="37"/>
  </w:num>
  <w:num w:numId="25">
    <w:abstractNumId w:val="49"/>
  </w:num>
  <w:num w:numId="26">
    <w:abstractNumId w:val="23"/>
  </w:num>
  <w:num w:numId="27">
    <w:abstractNumId w:val="41"/>
  </w:num>
  <w:num w:numId="28">
    <w:abstractNumId w:val="19"/>
  </w:num>
  <w:num w:numId="29">
    <w:abstractNumId w:val="4"/>
  </w:num>
  <w:num w:numId="30">
    <w:abstractNumId w:val="17"/>
  </w:num>
  <w:num w:numId="31">
    <w:abstractNumId w:val="30"/>
  </w:num>
  <w:num w:numId="32">
    <w:abstractNumId w:val="50"/>
  </w:num>
  <w:num w:numId="33">
    <w:abstractNumId w:val="33"/>
  </w:num>
  <w:num w:numId="34">
    <w:abstractNumId w:val="9"/>
  </w:num>
  <w:num w:numId="35">
    <w:abstractNumId w:val="5"/>
  </w:num>
  <w:num w:numId="36">
    <w:abstractNumId w:val="42"/>
  </w:num>
  <w:num w:numId="37">
    <w:abstractNumId w:val="8"/>
  </w:num>
  <w:num w:numId="38">
    <w:abstractNumId w:val="10"/>
  </w:num>
  <w:num w:numId="39">
    <w:abstractNumId w:val="25"/>
  </w:num>
  <w:num w:numId="40">
    <w:abstractNumId w:val="20"/>
  </w:num>
  <w:num w:numId="41">
    <w:abstractNumId w:val="24"/>
  </w:num>
  <w:num w:numId="42">
    <w:abstractNumId w:val="22"/>
  </w:num>
  <w:num w:numId="43">
    <w:abstractNumId w:val="51"/>
  </w:num>
  <w:num w:numId="44">
    <w:abstractNumId w:val="34"/>
  </w:num>
  <w:num w:numId="45">
    <w:abstractNumId w:val="35"/>
  </w:num>
  <w:num w:numId="46">
    <w:abstractNumId w:val="48"/>
  </w:num>
  <w:num w:numId="47">
    <w:abstractNumId w:val="12"/>
  </w:num>
  <w:num w:numId="48">
    <w:abstractNumId w:val="11"/>
  </w:num>
  <w:num w:numId="49">
    <w:abstractNumId w:val="39"/>
  </w:num>
  <w:num w:numId="50">
    <w:abstractNumId w:val="16"/>
  </w:num>
  <w:num w:numId="51">
    <w:abstractNumId w:val="36"/>
  </w:num>
  <w:num w:numId="52">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A01C9"/>
    <w:rsid w:val="001A3F84"/>
    <w:rsid w:val="003D77A0"/>
    <w:rsid w:val="003E2250"/>
    <w:rsid w:val="00554271"/>
    <w:rsid w:val="007A01C9"/>
    <w:rsid w:val="00846E39"/>
    <w:rsid w:val="008C15F1"/>
    <w:rsid w:val="00CC5D0C"/>
    <w:rsid w:val="00DD0C1F"/>
    <w:rsid w:val="00FD3D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C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0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1C9"/>
  </w:style>
  <w:style w:type="paragraph" w:styleId="Stopka">
    <w:name w:val="footer"/>
    <w:basedOn w:val="Normalny"/>
    <w:link w:val="StopkaZnak"/>
    <w:uiPriority w:val="99"/>
    <w:unhideWhenUsed/>
    <w:rsid w:val="007A0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4251</Words>
  <Characters>25506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2016-12-01T21:12:00Z</dcterms:created>
  <dcterms:modified xsi:type="dcterms:W3CDTF">2016-12-01T21:12:00Z</dcterms:modified>
</cp:coreProperties>
</file>